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7C" w:rsidRPr="008E387C" w:rsidRDefault="008E387C" w:rsidP="00DA3757">
      <w:pPr>
        <w:widowControl w:val="0"/>
        <w:suppressAutoHyphens/>
        <w:rPr>
          <w:lang w:val="en-US"/>
        </w:rPr>
      </w:pPr>
    </w:p>
    <w:p w:rsidR="00AA3453" w:rsidRPr="00AA3453" w:rsidRDefault="00AA3453" w:rsidP="00DA3757">
      <w:pPr>
        <w:widowControl w:val="0"/>
        <w:suppressAutoHyphens/>
        <w:rPr>
          <w:b/>
          <w:sz w:val="32"/>
          <w:szCs w:val="32"/>
          <w:lang w:val="en-US"/>
        </w:rPr>
      </w:pPr>
      <w:bookmarkStart w:id="0" w:name="_GoBack"/>
      <w:r w:rsidRPr="00AA3453">
        <w:rPr>
          <w:b/>
          <w:sz w:val="32"/>
          <w:szCs w:val="32"/>
          <w:lang w:val="en-US"/>
        </w:rPr>
        <w:t>SANFEED Application-form 201</w:t>
      </w:r>
      <w:r w:rsidR="00DC6FE9">
        <w:rPr>
          <w:b/>
          <w:sz w:val="32"/>
          <w:szCs w:val="32"/>
          <w:lang w:val="en-US"/>
        </w:rPr>
        <w:t>6</w:t>
      </w:r>
      <w:r w:rsidRPr="00AA3453">
        <w:rPr>
          <w:b/>
          <w:sz w:val="32"/>
          <w:szCs w:val="32"/>
          <w:lang w:val="en-US"/>
        </w:rPr>
        <w:t>/201</w:t>
      </w:r>
      <w:r w:rsidR="00DC6FE9">
        <w:rPr>
          <w:b/>
          <w:sz w:val="32"/>
          <w:szCs w:val="32"/>
          <w:lang w:val="en-US"/>
        </w:rPr>
        <w:t>7</w:t>
      </w:r>
    </w:p>
    <w:bookmarkEnd w:id="0"/>
    <w:p w:rsidR="00AA3453" w:rsidRDefault="00AA3453" w:rsidP="00DA3757">
      <w:pPr>
        <w:widowControl w:val="0"/>
        <w:suppressAutoHyphens/>
        <w:rPr>
          <w:lang w:val="en-US"/>
        </w:rPr>
      </w:pPr>
    </w:p>
    <w:p w:rsidR="008E387C" w:rsidRPr="00AA3453" w:rsidRDefault="008E387C" w:rsidP="00D91733">
      <w:pPr>
        <w:widowControl w:val="0"/>
        <w:suppressAutoHyphens/>
        <w:spacing w:line="360" w:lineRule="auto"/>
        <w:rPr>
          <w:b/>
          <w:lang w:val="en-US"/>
        </w:rPr>
      </w:pPr>
      <w:r w:rsidRPr="00AA3453">
        <w:rPr>
          <w:b/>
          <w:lang w:val="en-US"/>
        </w:rPr>
        <w:t>1. Personal data</w:t>
      </w:r>
    </w:p>
    <w:tbl>
      <w:tblPr>
        <w:tblStyle w:val="Tabelacomgrelha"/>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720"/>
      </w:tblGrid>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 xml:space="preserve">Full Name: </w:t>
            </w:r>
          </w:p>
        </w:tc>
      </w:tr>
      <w:tr w:rsidR="00D91733" w:rsidRPr="00DC6FE9"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Name under which you publish:</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 xml:space="preserve">Fiscal ID number: </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ID document:</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Birth date:</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Nationality:</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Gender:</w:t>
            </w:r>
          </w:p>
        </w:tc>
      </w:tr>
      <w:tr w:rsidR="009F228A" w:rsidRPr="00D91733" w:rsidTr="007C3205">
        <w:tc>
          <w:tcPr>
            <w:tcW w:w="5000" w:type="pct"/>
          </w:tcPr>
          <w:p w:rsidR="009F228A" w:rsidRPr="00D91733" w:rsidRDefault="009F228A" w:rsidP="00D91733">
            <w:pPr>
              <w:widowControl w:val="0"/>
              <w:suppressAutoHyphens/>
              <w:spacing w:line="360" w:lineRule="auto"/>
              <w:rPr>
                <w:lang w:val="en-US"/>
              </w:rPr>
            </w:pPr>
            <w:r w:rsidRPr="009F228A">
              <w:rPr>
                <w:lang w:val="en-US"/>
              </w:rPr>
              <w:t>Father's name</w:t>
            </w:r>
          </w:p>
        </w:tc>
      </w:tr>
      <w:tr w:rsidR="009F228A" w:rsidRPr="00D91733" w:rsidTr="007C3205">
        <w:tc>
          <w:tcPr>
            <w:tcW w:w="5000" w:type="pct"/>
          </w:tcPr>
          <w:p w:rsidR="009F228A" w:rsidRPr="009F228A" w:rsidRDefault="009F228A" w:rsidP="00D91733">
            <w:pPr>
              <w:widowControl w:val="0"/>
              <w:suppressAutoHyphens/>
              <w:spacing w:line="360" w:lineRule="auto"/>
              <w:rPr>
                <w:lang w:val="en-US"/>
              </w:rPr>
            </w:pPr>
            <w:r w:rsidRPr="009F228A">
              <w:rPr>
                <w:lang w:val="en-US"/>
              </w:rPr>
              <w:t>Mother's name</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Work address:</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Residential Address:</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Work Phone:</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Residential Phone:</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Email:</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Fax:</w:t>
            </w:r>
          </w:p>
        </w:tc>
      </w:tr>
      <w:tr w:rsidR="00D91733" w:rsidRPr="00D91733" w:rsidTr="007C3205">
        <w:tc>
          <w:tcPr>
            <w:tcW w:w="5000" w:type="pct"/>
          </w:tcPr>
          <w:p w:rsidR="00D91733" w:rsidRPr="00D91733" w:rsidRDefault="00D91733" w:rsidP="00D91733">
            <w:pPr>
              <w:widowControl w:val="0"/>
              <w:suppressAutoHyphens/>
              <w:spacing w:line="360" w:lineRule="auto"/>
              <w:rPr>
                <w:lang w:val="en-US"/>
              </w:rPr>
            </w:pPr>
            <w:r w:rsidRPr="00D91733">
              <w:rPr>
                <w:lang w:val="en-US"/>
              </w:rPr>
              <w:t>Cell phone:</w:t>
            </w:r>
          </w:p>
        </w:tc>
      </w:tr>
    </w:tbl>
    <w:p w:rsidR="008E387C" w:rsidRPr="008E387C" w:rsidRDefault="008E387C" w:rsidP="00DA3757">
      <w:pPr>
        <w:widowControl w:val="0"/>
        <w:suppressAutoHyphens/>
        <w:rPr>
          <w:lang w:val="en-US"/>
        </w:rPr>
      </w:pPr>
    </w:p>
    <w:p w:rsidR="008E387C" w:rsidRPr="00AA3453" w:rsidRDefault="008E387C" w:rsidP="00D91733">
      <w:pPr>
        <w:widowControl w:val="0"/>
        <w:suppressAutoHyphens/>
        <w:spacing w:line="360" w:lineRule="auto"/>
        <w:rPr>
          <w:b/>
          <w:lang w:val="en-US"/>
        </w:rPr>
      </w:pPr>
      <w:r w:rsidRPr="00AA3453">
        <w:rPr>
          <w:b/>
          <w:lang w:val="en-US"/>
        </w:rPr>
        <w:t>2. Academic degrees</w:t>
      </w:r>
    </w:p>
    <w:tbl>
      <w:tblPr>
        <w:tblStyle w:val="Tabelacomgrelha"/>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720"/>
      </w:tblGrid>
      <w:tr w:rsidR="00DA3757" w:rsidRPr="00DA3757" w:rsidTr="007C3205">
        <w:tc>
          <w:tcPr>
            <w:tcW w:w="5000" w:type="pct"/>
          </w:tcPr>
          <w:p w:rsidR="00DA3757" w:rsidRPr="00DA3757" w:rsidRDefault="00DA3757" w:rsidP="00DB4452">
            <w:pPr>
              <w:widowControl w:val="0"/>
              <w:suppressAutoHyphens/>
              <w:spacing w:line="360" w:lineRule="auto"/>
              <w:rPr>
                <w:lang w:val="en-US"/>
              </w:rPr>
            </w:pPr>
            <w:r w:rsidRPr="00DA3757">
              <w:rPr>
                <w:lang w:val="en-US"/>
              </w:rPr>
              <w:t xml:space="preserve">Year: </w:t>
            </w:r>
          </w:p>
        </w:tc>
      </w:tr>
      <w:tr w:rsidR="00DA3757" w:rsidRPr="00DA3757" w:rsidTr="007C3205">
        <w:tc>
          <w:tcPr>
            <w:tcW w:w="5000" w:type="pct"/>
          </w:tcPr>
          <w:p w:rsidR="00DA3757" w:rsidRPr="00DA3757" w:rsidRDefault="00DA3757" w:rsidP="00DB4452">
            <w:pPr>
              <w:widowControl w:val="0"/>
              <w:suppressAutoHyphens/>
              <w:spacing w:line="360" w:lineRule="auto"/>
              <w:rPr>
                <w:lang w:val="en-US"/>
              </w:rPr>
            </w:pPr>
            <w:r w:rsidRPr="00DA3757">
              <w:rPr>
                <w:lang w:val="en-US"/>
              </w:rPr>
              <w:t>Degree:</w:t>
            </w:r>
          </w:p>
        </w:tc>
      </w:tr>
      <w:tr w:rsidR="00DA3757" w:rsidRPr="00DA3757" w:rsidTr="007C3205">
        <w:tc>
          <w:tcPr>
            <w:tcW w:w="5000" w:type="pct"/>
          </w:tcPr>
          <w:p w:rsidR="00DA3757" w:rsidRPr="00DA3757" w:rsidRDefault="00DA3757" w:rsidP="00DB4452">
            <w:pPr>
              <w:widowControl w:val="0"/>
              <w:suppressAutoHyphens/>
              <w:spacing w:line="360" w:lineRule="auto"/>
              <w:rPr>
                <w:lang w:val="en-US"/>
              </w:rPr>
            </w:pPr>
            <w:r w:rsidRPr="00DA3757">
              <w:rPr>
                <w:lang w:val="en-US"/>
              </w:rPr>
              <w:t xml:space="preserve">Final grade: </w:t>
            </w:r>
          </w:p>
        </w:tc>
      </w:tr>
      <w:tr w:rsidR="00DA3757" w:rsidRPr="00DA3757" w:rsidTr="007C3205">
        <w:tc>
          <w:tcPr>
            <w:tcW w:w="5000" w:type="pct"/>
          </w:tcPr>
          <w:p w:rsidR="00DA3757" w:rsidRPr="00DA3757" w:rsidRDefault="00DA3757" w:rsidP="00DB4452">
            <w:pPr>
              <w:widowControl w:val="0"/>
              <w:suppressAutoHyphens/>
              <w:spacing w:line="360" w:lineRule="auto"/>
              <w:rPr>
                <w:lang w:val="en-US"/>
              </w:rPr>
            </w:pPr>
            <w:r w:rsidRPr="00DA3757">
              <w:rPr>
                <w:lang w:val="en-US"/>
              </w:rPr>
              <w:t>Degree granting institution:</w:t>
            </w:r>
          </w:p>
        </w:tc>
      </w:tr>
      <w:tr w:rsidR="00DA3757" w:rsidRPr="00DA3757" w:rsidTr="007C3205">
        <w:tc>
          <w:tcPr>
            <w:tcW w:w="5000" w:type="pct"/>
          </w:tcPr>
          <w:p w:rsidR="00DA3757" w:rsidRPr="00DA3757" w:rsidRDefault="00DA3757" w:rsidP="00DB4452">
            <w:pPr>
              <w:widowControl w:val="0"/>
              <w:suppressAutoHyphens/>
              <w:spacing w:line="360" w:lineRule="auto"/>
              <w:rPr>
                <w:lang w:val="en-US"/>
              </w:rPr>
            </w:pPr>
            <w:r w:rsidRPr="00DA3757">
              <w:rPr>
                <w:lang w:val="en-US"/>
              </w:rPr>
              <w:t>School/College/Campus:</w:t>
            </w:r>
          </w:p>
        </w:tc>
      </w:tr>
      <w:tr w:rsidR="00DA3757" w:rsidRPr="00DA3757" w:rsidTr="007C3205">
        <w:tc>
          <w:tcPr>
            <w:tcW w:w="5000" w:type="pct"/>
          </w:tcPr>
          <w:p w:rsidR="00DA3757" w:rsidRPr="00DA3757" w:rsidRDefault="00DA3757" w:rsidP="00DB4452">
            <w:pPr>
              <w:widowControl w:val="0"/>
              <w:suppressAutoHyphens/>
              <w:spacing w:line="360" w:lineRule="auto"/>
              <w:rPr>
                <w:lang w:val="en-US"/>
              </w:rPr>
            </w:pPr>
            <w:r w:rsidRPr="00DA3757">
              <w:rPr>
                <w:lang w:val="en-US"/>
              </w:rPr>
              <w:t>Thesis title (if applicable):</w:t>
            </w:r>
          </w:p>
        </w:tc>
      </w:tr>
      <w:tr w:rsidR="00DA3757" w:rsidRPr="00DA3757" w:rsidTr="007C3205">
        <w:tc>
          <w:tcPr>
            <w:tcW w:w="5000" w:type="pct"/>
          </w:tcPr>
          <w:p w:rsidR="00DA3757" w:rsidRPr="00DA3757" w:rsidRDefault="00DA3757" w:rsidP="00DB4452">
            <w:pPr>
              <w:widowControl w:val="0"/>
              <w:suppressAutoHyphens/>
              <w:spacing w:line="360" w:lineRule="auto"/>
              <w:rPr>
                <w:lang w:val="en-US"/>
              </w:rPr>
            </w:pPr>
            <w:r w:rsidRPr="00DA3757">
              <w:rPr>
                <w:lang w:val="en-US"/>
              </w:rPr>
              <w:t>Supervisor:</w:t>
            </w:r>
          </w:p>
        </w:tc>
      </w:tr>
      <w:tr w:rsidR="00DA3757" w:rsidRPr="00DA3757" w:rsidTr="007C3205">
        <w:tc>
          <w:tcPr>
            <w:tcW w:w="5000" w:type="pct"/>
          </w:tcPr>
          <w:p w:rsidR="00DA3757" w:rsidRPr="00DA3757" w:rsidRDefault="00DA3757" w:rsidP="00DB4452">
            <w:pPr>
              <w:widowControl w:val="0"/>
              <w:suppressAutoHyphens/>
              <w:spacing w:line="360" w:lineRule="auto"/>
              <w:rPr>
                <w:lang w:val="en-US"/>
              </w:rPr>
            </w:pPr>
            <w:r w:rsidRPr="00DA3757">
              <w:rPr>
                <w:lang w:val="en-US"/>
              </w:rPr>
              <w:t>Co-supervisor:</w:t>
            </w:r>
          </w:p>
        </w:tc>
      </w:tr>
      <w:tr w:rsidR="00DA3757" w:rsidRPr="00DA3757" w:rsidTr="007C3205">
        <w:tc>
          <w:tcPr>
            <w:tcW w:w="5000" w:type="pct"/>
          </w:tcPr>
          <w:p w:rsidR="00DA3757" w:rsidRPr="00DA3757" w:rsidRDefault="00DA3757" w:rsidP="00DB4452">
            <w:pPr>
              <w:widowControl w:val="0"/>
              <w:suppressAutoHyphens/>
              <w:spacing w:line="360" w:lineRule="auto"/>
              <w:rPr>
                <w:lang w:val="en-US"/>
              </w:rPr>
            </w:pPr>
            <w:r w:rsidRPr="00DA3757">
              <w:rPr>
                <w:lang w:val="en-US"/>
              </w:rPr>
              <w:t>Scientific area:</w:t>
            </w:r>
          </w:p>
        </w:tc>
      </w:tr>
      <w:tr w:rsidR="00DA3757" w:rsidRPr="00DA3757" w:rsidTr="007C3205">
        <w:tc>
          <w:tcPr>
            <w:tcW w:w="5000" w:type="pct"/>
          </w:tcPr>
          <w:p w:rsidR="00DA3757" w:rsidRPr="00DA3757" w:rsidRDefault="00DA3757" w:rsidP="00DB4452">
            <w:pPr>
              <w:widowControl w:val="0"/>
              <w:suppressAutoHyphens/>
              <w:spacing w:line="360" w:lineRule="auto"/>
              <w:rPr>
                <w:lang w:val="en-US"/>
              </w:rPr>
            </w:pPr>
            <w:r w:rsidRPr="00DA3757">
              <w:rPr>
                <w:lang w:val="en-US"/>
              </w:rPr>
              <w:t>Number of curricular years:</w:t>
            </w:r>
          </w:p>
        </w:tc>
      </w:tr>
      <w:tr w:rsidR="00DA3757" w:rsidRPr="00DA3757" w:rsidTr="007C3205">
        <w:tc>
          <w:tcPr>
            <w:tcW w:w="5000" w:type="pct"/>
          </w:tcPr>
          <w:p w:rsidR="00DA3757" w:rsidRPr="00DA3757" w:rsidRDefault="00DA3757" w:rsidP="00DB4452">
            <w:pPr>
              <w:widowControl w:val="0"/>
              <w:suppressAutoHyphens/>
              <w:spacing w:line="360" w:lineRule="auto"/>
              <w:rPr>
                <w:lang w:val="en-US"/>
              </w:rPr>
            </w:pPr>
            <w:r w:rsidRPr="00DA3757">
              <w:rPr>
                <w:lang w:val="en-US"/>
              </w:rPr>
              <w:t xml:space="preserve">Program title: </w:t>
            </w:r>
          </w:p>
        </w:tc>
      </w:tr>
    </w:tbl>
    <w:p w:rsidR="00213BB2" w:rsidRDefault="00213BB2" w:rsidP="00DA3757">
      <w:pPr>
        <w:widowControl w:val="0"/>
        <w:suppressAutoHyphens/>
        <w:rPr>
          <w:lang w:val="en-US"/>
        </w:rPr>
      </w:pPr>
    </w:p>
    <w:p w:rsidR="009F228A" w:rsidRPr="00213BB2" w:rsidRDefault="009F228A" w:rsidP="00DA3757">
      <w:pPr>
        <w:widowControl w:val="0"/>
        <w:suppressAutoHyphens/>
        <w:rPr>
          <w:lang w:val="en-US"/>
        </w:rPr>
      </w:pPr>
    </w:p>
    <w:tbl>
      <w:tblPr>
        <w:tblStyle w:val="Tabelacomgrelha"/>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720"/>
      </w:tblGrid>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 xml:space="preserve">Year: </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Degree:</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 xml:space="preserve">Final grade: </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Degree granting institution:</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School/College/Campus:</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Thesis title (if applicable):</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Supervisor:</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Co-supervisor:</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Scientific area:</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Number of curricular years:</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 xml:space="preserve">Program title: </w:t>
            </w:r>
          </w:p>
        </w:tc>
      </w:tr>
    </w:tbl>
    <w:p w:rsidR="008E387C" w:rsidRDefault="008E387C" w:rsidP="00DA3757">
      <w:pPr>
        <w:widowControl w:val="0"/>
        <w:suppressAutoHyphens/>
        <w:rPr>
          <w:lang w:val="en-US"/>
        </w:rPr>
      </w:pPr>
    </w:p>
    <w:tbl>
      <w:tblPr>
        <w:tblStyle w:val="Tabelacomgrelha"/>
        <w:tblW w:w="5000" w:type="pct"/>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8720"/>
      </w:tblGrid>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 xml:space="preserve">Year: </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Degree:</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 xml:space="preserve">Final grade: </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Degree granting institution:</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School/College/Campus:</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Thesis title (if applicable):</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Supervisor:</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Co-supervisor:</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Scientific area:</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Number of curricular years:</w:t>
            </w:r>
          </w:p>
        </w:tc>
      </w:tr>
      <w:tr w:rsidR="00DA3757" w:rsidRPr="00DA3757" w:rsidTr="007C3205">
        <w:tc>
          <w:tcPr>
            <w:tcW w:w="5000" w:type="pct"/>
          </w:tcPr>
          <w:p w:rsidR="00DA3757" w:rsidRPr="00DA3757" w:rsidRDefault="00DA3757" w:rsidP="005873CE">
            <w:pPr>
              <w:widowControl w:val="0"/>
              <w:suppressAutoHyphens/>
              <w:spacing w:line="360" w:lineRule="auto"/>
              <w:rPr>
                <w:lang w:val="en-US"/>
              </w:rPr>
            </w:pPr>
            <w:r w:rsidRPr="00DA3757">
              <w:rPr>
                <w:lang w:val="en-US"/>
              </w:rPr>
              <w:t xml:space="preserve">Program title: </w:t>
            </w:r>
          </w:p>
        </w:tc>
      </w:tr>
    </w:tbl>
    <w:p w:rsidR="00DA3757" w:rsidRDefault="00DA3757" w:rsidP="00DA3757">
      <w:pPr>
        <w:widowControl w:val="0"/>
        <w:suppressAutoHyphens/>
        <w:rPr>
          <w:lang w:val="en-US"/>
        </w:rPr>
      </w:pPr>
    </w:p>
    <w:p w:rsidR="008E387C" w:rsidRPr="00AA3453" w:rsidRDefault="00213BB2" w:rsidP="00D91733">
      <w:pPr>
        <w:widowControl w:val="0"/>
        <w:suppressAutoHyphens/>
        <w:spacing w:line="360" w:lineRule="auto"/>
        <w:rPr>
          <w:b/>
          <w:lang w:val="en-US"/>
        </w:rPr>
      </w:pPr>
      <w:r w:rsidRPr="00AA3453">
        <w:rPr>
          <w:b/>
          <w:lang w:val="en-US"/>
        </w:rPr>
        <w:t>3</w:t>
      </w:r>
      <w:r w:rsidR="008E387C" w:rsidRPr="00AA3453">
        <w:rPr>
          <w:b/>
          <w:lang w:val="en-US"/>
        </w:rPr>
        <w:t>. Present research interest</w:t>
      </w:r>
      <w:r w:rsidR="00FA6006">
        <w:rPr>
          <w:b/>
          <w:lang w:val="en-US"/>
        </w:rPr>
        <w:t>s</w:t>
      </w:r>
      <w:r w:rsidR="00AA3453">
        <w:rPr>
          <w:b/>
          <w:lang w:val="en-US"/>
        </w:rPr>
        <w:t>:</w:t>
      </w:r>
    </w:p>
    <w:tbl>
      <w:tblPr>
        <w:tblStyle w:val="Tabelacomgrelha"/>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
        <w:gridCol w:w="8324"/>
      </w:tblGrid>
      <w:tr w:rsidR="00DA3757" w:rsidTr="007C3205">
        <w:tc>
          <w:tcPr>
            <w:tcW w:w="227" w:type="pct"/>
          </w:tcPr>
          <w:p w:rsidR="00DA3757" w:rsidRDefault="00DA3757" w:rsidP="00D91733">
            <w:pPr>
              <w:widowControl w:val="0"/>
              <w:suppressAutoHyphens/>
              <w:spacing w:line="360" w:lineRule="auto"/>
              <w:rPr>
                <w:lang w:val="en-US"/>
              </w:rPr>
            </w:pPr>
            <w:r>
              <w:rPr>
                <w:lang w:val="en-US"/>
              </w:rPr>
              <w:t>1.</w:t>
            </w:r>
          </w:p>
        </w:tc>
        <w:tc>
          <w:tcPr>
            <w:tcW w:w="4773" w:type="pct"/>
          </w:tcPr>
          <w:p w:rsidR="00DA3757" w:rsidRDefault="00DA3757" w:rsidP="00D91733">
            <w:pPr>
              <w:widowControl w:val="0"/>
              <w:suppressAutoHyphens/>
              <w:spacing w:line="360" w:lineRule="auto"/>
              <w:rPr>
                <w:lang w:val="en-US"/>
              </w:rPr>
            </w:pPr>
          </w:p>
        </w:tc>
      </w:tr>
      <w:tr w:rsidR="00DA3757" w:rsidTr="007C3205">
        <w:tc>
          <w:tcPr>
            <w:tcW w:w="227" w:type="pct"/>
          </w:tcPr>
          <w:p w:rsidR="00DA3757" w:rsidRDefault="00DA3757" w:rsidP="00D91733">
            <w:pPr>
              <w:widowControl w:val="0"/>
              <w:suppressAutoHyphens/>
              <w:spacing w:line="360" w:lineRule="auto"/>
              <w:rPr>
                <w:lang w:val="en-US"/>
              </w:rPr>
            </w:pPr>
            <w:r>
              <w:rPr>
                <w:lang w:val="en-US"/>
              </w:rPr>
              <w:t>2.</w:t>
            </w:r>
          </w:p>
        </w:tc>
        <w:tc>
          <w:tcPr>
            <w:tcW w:w="4773" w:type="pct"/>
          </w:tcPr>
          <w:p w:rsidR="00DA3757" w:rsidRDefault="00DA3757" w:rsidP="00D91733">
            <w:pPr>
              <w:widowControl w:val="0"/>
              <w:suppressAutoHyphens/>
              <w:spacing w:line="360" w:lineRule="auto"/>
              <w:rPr>
                <w:lang w:val="en-US"/>
              </w:rPr>
            </w:pPr>
          </w:p>
        </w:tc>
      </w:tr>
      <w:tr w:rsidR="00DA3757" w:rsidTr="007C3205">
        <w:tc>
          <w:tcPr>
            <w:tcW w:w="227" w:type="pct"/>
          </w:tcPr>
          <w:p w:rsidR="00DA3757" w:rsidRDefault="00DA3757" w:rsidP="00D91733">
            <w:pPr>
              <w:widowControl w:val="0"/>
              <w:suppressAutoHyphens/>
              <w:spacing w:line="360" w:lineRule="auto"/>
              <w:rPr>
                <w:lang w:val="en-US"/>
              </w:rPr>
            </w:pPr>
            <w:r>
              <w:rPr>
                <w:lang w:val="en-US"/>
              </w:rPr>
              <w:t>3.</w:t>
            </w:r>
          </w:p>
        </w:tc>
        <w:tc>
          <w:tcPr>
            <w:tcW w:w="4773" w:type="pct"/>
          </w:tcPr>
          <w:p w:rsidR="00DA3757" w:rsidRDefault="00DA3757" w:rsidP="00D91733">
            <w:pPr>
              <w:widowControl w:val="0"/>
              <w:suppressAutoHyphens/>
              <w:spacing w:line="360" w:lineRule="auto"/>
              <w:rPr>
                <w:lang w:val="en-US"/>
              </w:rPr>
            </w:pPr>
          </w:p>
        </w:tc>
      </w:tr>
    </w:tbl>
    <w:p w:rsidR="00AA3453" w:rsidRDefault="00AA3453" w:rsidP="00D91733">
      <w:pPr>
        <w:widowControl w:val="0"/>
        <w:suppressAutoHyphens/>
        <w:spacing w:line="360" w:lineRule="auto"/>
        <w:rPr>
          <w:lang w:val="en-US"/>
        </w:rPr>
      </w:pPr>
    </w:p>
    <w:p w:rsidR="00AA3453" w:rsidRDefault="00AA3453" w:rsidP="00D91733">
      <w:pPr>
        <w:widowControl w:val="0"/>
        <w:suppressAutoHyphens/>
        <w:spacing w:line="360" w:lineRule="auto"/>
        <w:rPr>
          <w:lang w:val="en-US"/>
        </w:rPr>
      </w:pPr>
    </w:p>
    <w:p w:rsidR="00AA3453" w:rsidRDefault="00AA3453" w:rsidP="00D91733">
      <w:pPr>
        <w:widowControl w:val="0"/>
        <w:suppressAutoHyphens/>
        <w:spacing w:line="360" w:lineRule="auto"/>
        <w:rPr>
          <w:lang w:val="en-US"/>
        </w:rPr>
      </w:pPr>
    </w:p>
    <w:p w:rsidR="00AA3453" w:rsidRDefault="00AA3453" w:rsidP="00D91733">
      <w:pPr>
        <w:widowControl w:val="0"/>
        <w:suppressAutoHyphens/>
        <w:spacing w:line="360" w:lineRule="auto"/>
        <w:rPr>
          <w:lang w:val="en-US"/>
        </w:rPr>
      </w:pPr>
    </w:p>
    <w:p w:rsidR="00AA3453" w:rsidRDefault="00AA3453" w:rsidP="00D91733">
      <w:pPr>
        <w:widowControl w:val="0"/>
        <w:suppressAutoHyphens/>
        <w:spacing w:line="360" w:lineRule="auto"/>
        <w:rPr>
          <w:lang w:val="en-US"/>
        </w:rPr>
      </w:pPr>
    </w:p>
    <w:p w:rsidR="00DA3757" w:rsidRDefault="00DA3757" w:rsidP="00DA3757">
      <w:pPr>
        <w:widowControl w:val="0"/>
        <w:suppressAutoHyphens/>
        <w:rPr>
          <w:lang w:val="en-US"/>
        </w:rPr>
      </w:pPr>
    </w:p>
    <w:p w:rsidR="00213BB2" w:rsidRPr="00AA3453" w:rsidRDefault="00213BB2" w:rsidP="00D91733">
      <w:pPr>
        <w:widowControl w:val="0"/>
        <w:suppressAutoHyphens/>
        <w:spacing w:line="360" w:lineRule="auto"/>
        <w:rPr>
          <w:b/>
          <w:lang w:val="en-US"/>
        </w:rPr>
      </w:pPr>
      <w:r w:rsidRPr="00AA3453">
        <w:rPr>
          <w:b/>
          <w:lang w:val="en-US"/>
        </w:rPr>
        <w:t>4. SANFEED topic</w:t>
      </w:r>
      <w:r w:rsidR="00FA6006">
        <w:rPr>
          <w:b/>
          <w:lang w:val="en-US"/>
        </w:rPr>
        <w:t>(s)</w:t>
      </w:r>
    </w:p>
    <w:p w:rsidR="00213BB2" w:rsidRPr="00DA3757" w:rsidRDefault="00213BB2" w:rsidP="00887FB6">
      <w:pPr>
        <w:widowControl w:val="0"/>
        <w:suppressAutoHyphens/>
        <w:spacing w:line="360" w:lineRule="auto"/>
        <w:jc w:val="both"/>
        <w:rPr>
          <w:i/>
          <w:lang w:val="en-US"/>
        </w:rPr>
      </w:pPr>
      <w:r w:rsidRPr="00DA3757">
        <w:rPr>
          <w:i/>
          <w:lang w:val="en-US"/>
        </w:rPr>
        <w:t xml:space="preserve">Candidates </w:t>
      </w:r>
      <w:r w:rsidR="00B83F4E" w:rsidRPr="00DA3757">
        <w:rPr>
          <w:i/>
          <w:lang w:val="en-US"/>
        </w:rPr>
        <w:t xml:space="preserve">can apply </w:t>
      </w:r>
      <w:r w:rsidR="00CF4122" w:rsidRPr="00DA3757">
        <w:rPr>
          <w:i/>
          <w:lang w:val="en-US"/>
        </w:rPr>
        <w:t xml:space="preserve">to one or more </w:t>
      </w:r>
      <w:r w:rsidR="00B83F4E" w:rsidRPr="00DA3757">
        <w:rPr>
          <w:i/>
          <w:lang w:val="en-US"/>
        </w:rPr>
        <w:t>topic</w:t>
      </w:r>
      <w:r w:rsidR="00CF4122" w:rsidRPr="00DA3757">
        <w:rPr>
          <w:i/>
          <w:lang w:val="en-US"/>
        </w:rPr>
        <w:t>s</w:t>
      </w:r>
      <w:r w:rsidR="00B83F4E" w:rsidRPr="00DA3757">
        <w:rPr>
          <w:i/>
          <w:lang w:val="en-US"/>
        </w:rPr>
        <w:t xml:space="preserve">, and </w:t>
      </w:r>
      <w:r w:rsidR="00CF4122" w:rsidRPr="00DA3757">
        <w:rPr>
          <w:i/>
          <w:lang w:val="en-US"/>
        </w:rPr>
        <w:t xml:space="preserve">the case of multiple </w:t>
      </w:r>
      <w:r w:rsidR="001935F0" w:rsidRPr="00DA3757">
        <w:rPr>
          <w:i/>
          <w:lang w:val="en-US"/>
        </w:rPr>
        <w:t>choices</w:t>
      </w:r>
      <w:r w:rsidR="00B83F4E" w:rsidRPr="00DA3757">
        <w:rPr>
          <w:i/>
          <w:lang w:val="en-US"/>
        </w:rPr>
        <w:t xml:space="preserve"> </w:t>
      </w:r>
      <w:r w:rsidRPr="00DA3757">
        <w:rPr>
          <w:i/>
          <w:lang w:val="en-US"/>
        </w:rPr>
        <w:t xml:space="preserve">the topics </w:t>
      </w:r>
      <w:r w:rsidR="00CF4122" w:rsidRPr="00DA3757">
        <w:rPr>
          <w:i/>
          <w:lang w:val="en-US"/>
        </w:rPr>
        <w:t xml:space="preserve">should be ranked (1 to </w:t>
      </w:r>
      <w:r w:rsidR="00E97ED4">
        <w:rPr>
          <w:i/>
          <w:lang w:val="en-US"/>
        </w:rPr>
        <w:t>5</w:t>
      </w:r>
      <w:r w:rsidR="00CF4122" w:rsidRPr="00DA3757">
        <w:rPr>
          <w:i/>
          <w:lang w:val="en-US"/>
        </w:rPr>
        <w:t xml:space="preserve">) </w:t>
      </w:r>
      <w:r w:rsidRPr="00DA3757">
        <w:rPr>
          <w:i/>
          <w:lang w:val="en-US"/>
        </w:rPr>
        <w:t>according to the preference:</w:t>
      </w:r>
    </w:p>
    <w:p w:rsidR="00213BB2" w:rsidRPr="006A6728" w:rsidRDefault="00213BB2" w:rsidP="003B3155">
      <w:pPr>
        <w:widowControl w:val="0"/>
        <w:suppressAutoHyphens/>
        <w:spacing w:line="360" w:lineRule="auto"/>
        <w:rPr>
          <w:lang w:val="en-US"/>
        </w:rPr>
      </w:pPr>
    </w:p>
    <w:p w:rsidR="00DC6FE9" w:rsidRPr="003B3155" w:rsidRDefault="00DC6FE9" w:rsidP="003B3155">
      <w:pPr>
        <w:pStyle w:val="PargrafodaLista"/>
        <w:numPr>
          <w:ilvl w:val="0"/>
          <w:numId w:val="3"/>
        </w:numPr>
        <w:spacing w:line="360" w:lineRule="auto"/>
        <w:ind w:left="426"/>
        <w:jc w:val="both"/>
        <w:rPr>
          <w:rFonts w:eastAsia="Times New Roman" w:cs="Arial"/>
          <w:b/>
          <w:lang w:val="en-GB"/>
        </w:rPr>
      </w:pPr>
      <w:r w:rsidRPr="003B3155">
        <w:rPr>
          <w:rFonts w:cs="Arial"/>
          <w:b/>
          <w:u w:val="single"/>
          <w:lang w:val="en-GB"/>
        </w:rPr>
        <w:t>T</w:t>
      </w:r>
      <w:r w:rsidRPr="003B3155">
        <w:rPr>
          <w:rFonts w:cs="Arial"/>
          <w:b/>
          <w:u w:val="single"/>
          <w:lang w:val="en-GB"/>
        </w:rPr>
        <w:t>opic</w:t>
      </w:r>
      <w:r w:rsidRPr="003B3155">
        <w:rPr>
          <w:rFonts w:cs="Arial"/>
          <w:b/>
          <w:u w:val="single"/>
          <w:lang w:val="en-GB"/>
        </w:rPr>
        <w:t xml:space="preserve"> I</w:t>
      </w:r>
      <w:r w:rsidRPr="003B3155">
        <w:rPr>
          <w:rFonts w:cs="Arial"/>
          <w:b/>
          <w:lang w:val="en-GB"/>
        </w:rPr>
        <w:t xml:space="preserve">: </w:t>
      </w:r>
      <w:r w:rsidRPr="003B3155">
        <w:rPr>
          <w:rFonts w:eastAsia="Times New Roman" w:cs="Arial"/>
          <w:b/>
          <w:lang w:val="en-GB"/>
        </w:rPr>
        <w:t>Microbiome in poultry: influence of nutritional factors (WP3)</w:t>
      </w:r>
    </w:p>
    <w:p w:rsidR="00DC6FE9" w:rsidRPr="003B3155" w:rsidRDefault="00DC6FE9" w:rsidP="003B3155">
      <w:pPr>
        <w:pStyle w:val="PargrafodaLista"/>
        <w:spacing w:line="360" w:lineRule="auto"/>
        <w:ind w:left="426"/>
        <w:jc w:val="both"/>
        <w:rPr>
          <w:rFonts w:eastAsia="Times New Roman" w:cs="Arial"/>
        </w:rPr>
      </w:pPr>
      <w:proofErr w:type="spellStart"/>
      <w:r w:rsidRPr="003B3155">
        <w:rPr>
          <w:rFonts w:cs="Arial"/>
          <w:b/>
        </w:rPr>
        <w:t>Supervisory</w:t>
      </w:r>
      <w:proofErr w:type="spellEnd"/>
      <w:r w:rsidRPr="003B3155">
        <w:rPr>
          <w:rFonts w:cs="Arial"/>
          <w:b/>
        </w:rPr>
        <w:t xml:space="preserve"> </w:t>
      </w:r>
      <w:proofErr w:type="gramStart"/>
      <w:r w:rsidRPr="003B3155">
        <w:rPr>
          <w:rFonts w:cs="Arial"/>
          <w:b/>
        </w:rPr>
        <w:t>team</w:t>
      </w:r>
      <w:proofErr w:type="gramEnd"/>
      <w:r w:rsidRPr="003B3155">
        <w:rPr>
          <w:rFonts w:cs="Arial"/>
          <w:b/>
        </w:rPr>
        <w:t xml:space="preserve">: </w:t>
      </w:r>
      <w:r w:rsidRPr="003B3155">
        <w:rPr>
          <w:rFonts w:eastAsia="Times New Roman" w:cs="Arial"/>
        </w:rPr>
        <w:t>Agostinho Antunes (CIIMAR/FC-UP); José Luís Mourão (UTAD); António Mira da Fonseca (REQUIMTE/ICBAS-UP)</w:t>
      </w:r>
    </w:p>
    <w:p w:rsidR="00DC6FE9" w:rsidRPr="003B3155" w:rsidRDefault="00DC6FE9" w:rsidP="003B3155">
      <w:pPr>
        <w:pStyle w:val="PargrafodaLista"/>
        <w:spacing w:line="360" w:lineRule="auto"/>
        <w:ind w:left="426"/>
        <w:jc w:val="both"/>
        <w:rPr>
          <w:rFonts w:eastAsia="Times New Roman" w:cs="Arial"/>
        </w:rPr>
      </w:pPr>
      <w:r w:rsidRPr="003B3155">
        <w:rPr>
          <w:rFonts w:cs="Arial"/>
          <w:b/>
        </w:rPr>
        <w:t xml:space="preserve">Industrial </w:t>
      </w:r>
      <w:proofErr w:type="spellStart"/>
      <w:r w:rsidRPr="003B3155">
        <w:rPr>
          <w:rFonts w:cs="Arial"/>
          <w:b/>
        </w:rPr>
        <w:t>Representative</w:t>
      </w:r>
      <w:proofErr w:type="spellEnd"/>
      <w:r w:rsidRPr="003B3155">
        <w:rPr>
          <w:rFonts w:cs="Arial"/>
        </w:rPr>
        <w:t xml:space="preserve">: </w:t>
      </w:r>
      <w:r w:rsidRPr="003B3155">
        <w:rPr>
          <w:rFonts w:eastAsia="Times New Roman" w:cs="Arial"/>
        </w:rPr>
        <w:t>José Vieira (SORGAL)</w:t>
      </w:r>
    </w:p>
    <w:p w:rsidR="00DC6FE9" w:rsidRPr="003B3155" w:rsidRDefault="0045186C" w:rsidP="00744CE6">
      <w:pPr>
        <w:ind w:left="426"/>
        <w:jc w:val="both"/>
        <w:rPr>
          <w:rFonts w:cs="Arial"/>
          <w:i/>
          <w:sz w:val="20"/>
          <w:szCs w:val="20"/>
          <w:lang w:val="en-US"/>
        </w:rPr>
      </w:pPr>
      <w:r w:rsidRPr="003B3155">
        <w:rPr>
          <w:rFonts w:cs="Arial"/>
          <w:i/>
          <w:sz w:val="20"/>
          <w:szCs w:val="20"/>
          <w:lang w:val="en-US"/>
        </w:rPr>
        <w:t xml:space="preserve">There is growing recognition of the role of diet in modulating the composition and metabolic activity of the gut microbiota, which can have major impact in health and meat quality in birds and cows. Molecular technologies can be used to decipher the complexity and diversity of the gut microbial communities within and between individuals. Diet, particularly macronutrients, has a major role in shaping the composition and activity of these complex populations. The impacts of dietary fats and protein on the gut microbiota are less well defined. Both short- and long-term dietary change can influence the microbial profiles, and infant nutrition may have life-long consequences through microbial modulation of the immune system. Moreover, there </w:t>
      </w:r>
      <w:proofErr w:type="gramStart"/>
      <w:r w:rsidRPr="003B3155">
        <w:rPr>
          <w:rFonts w:cs="Arial"/>
          <w:i/>
          <w:sz w:val="20"/>
          <w:szCs w:val="20"/>
          <w:lang w:val="en-US"/>
        </w:rPr>
        <w:t>is potential benefits</w:t>
      </w:r>
      <w:proofErr w:type="gramEnd"/>
      <w:r w:rsidRPr="003B3155">
        <w:rPr>
          <w:rFonts w:cs="Arial"/>
          <w:i/>
          <w:sz w:val="20"/>
          <w:szCs w:val="20"/>
          <w:lang w:val="en-US"/>
        </w:rPr>
        <w:t xml:space="preserve"> of prebiotics and probiotics to modify microbial populations. General objectives:</w:t>
      </w:r>
      <w:r w:rsidRPr="003B3155">
        <w:rPr>
          <w:rFonts w:cs="Arial"/>
          <w:i/>
          <w:sz w:val="20"/>
          <w:szCs w:val="20"/>
          <w:lang w:val="en-US"/>
        </w:rPr>
        <w:t xml:space="preserve"> 1) </w:t>
      </w:r>
      <w:r w:rsidR="000E5D20" w:rsidRPr="003B3155">
        <w:rPr>
          <w:rFonts w:cs="Arial"/>
          <w:i/>
          <w:sz w:val="20"/>
          <w:szCs w:val="20"/>
          <w:lang w:val="en-US"/>
        </w:rPr>
        <w:t>t</w:t>
      </w:r>
      <w:r w:rsidRPr="003B3155">
        <w:rPr>
          <w:rFonts w:cs="Arial"/>
          <w:i/>
          <w:sz w:val="20"/>
          <w:szCs w:val="20"/>
          <w:lang w:val="en-US"/>
        </w:rPr>
        <w:t>o characterize the microbiome in poultry based on the microbial identification with genomic pyrosequencin</w:t>
      </w:r>
      <w:r w:rsidRPr="003B3155">
        <w:rPr>
          <w:rFonts w:cs="Arial"/>
          <w:i/>
          <w:sz w:val="20"/>
          <w:szCs w:val="20"/>
          <w:lang w:val="en-US"/>
        </w:rPr>
        <w:t xml:space="preserve">g of the 16S ribosomal RNA gene; 2) </w:t>
      </w:r>
      <w:r w:rsidR="000E5D20" w:rsidRPr="003B3155">
        <w:rPr>
          <w:rFonts w:cs="Arial"/>
          <w:i/>
          <w:sz w:val="20"/>
          <w:szCs w:val="20"/>
          <w:lang w:val="en-US"/>
        </w:rPr>
        <w:t>t</w:t>
      </w:r>
      <w:r w:rsidRPr="003B3155">
        <w:rPr>
          <w:rFonts w:cs="Arial"/>
          <w:i/>
          <w:sz w:val="20"/>
          <w:szCs w:val="20"/>
          <w:lang w:val="en-US"/>
        </w:rPr>
        <w:t>o improve poultry microbiome through nutritional modulation and/or the use of specific supple</w:t>
      </w:r>
      <w:r w:rsidRPr="003B3155">
        <w:rPr>
          <w:rFonts w:cs="Arial"/>
          <w:i/>
          <w:sz w:val="20"/>
          <w:szCs w:val="20"/>
          <w:lang w:val="en-US"/>
        </w:rPr>
        <w:t>ments;</w:t>
      </w:r>
      <w:r w:rsidR="000E5D20" w:rsidRPr="003B3155">
        <w:rPr>
          <w:rFonts w:cs="Arial"/>
          <w:i/>
          <w:sz w:val="20"/>
          <w:szCs w:val="20"/>
          <w:lang w:val="en-US"/>
        </w:rPr>
        <w:t xml:space="preserve"> and </w:t>
      </w:r>
      <w:r w:rsidRPr="003B3155">
        <w:rPr>
          <w:rFonts w:cs="Arial"/>
          <w:i/>
          <w:sz w:val="20"/>
          <w:szCs w:val="20"/>
          <w:lang w:val="en-US"/>
        </w:rPr>
        <w:t xml:space="preserve">3) </w:t>
      </w:r>
      <w:r w:rsidR="000E5D20" w:rsidRPr="003B3155">
        <w:rPr>
          <w:rFonts w:cs="Arial"/>
          <w:i/>
          <w:sz w:val="20"/>
          <w:szCs w:val="20"/>
          <w:lang w:val="en-US"/>
        </w:rPr>
        <w:t>t</w:t>
      </w:r>
      <w:r w:rsidRPr="003B3155">
        <w:rPr>
          <w:rFonts w:cs="Arial"/>
          <w:i/>
          <w:sz w:val="20"/>
          <w:szCs w:val="20"/>
          <w:lang w:val="en-US"/>
        </w:rPr>
        <w:t>o develop the genomic tools to allow evaluation of reliable diagnostic approaches for food authenticity and traceability.</w:t>
      </w:r>
    </w:p>
    <w:p w:rsidR="0045186C" w:rsidRPr="0045186C" w:rsidRDefault="0045186C" w:rsidP="0045186C">
      <w:pPr>
        <w:jc w:val="both"/>
        <w:rPr>
          <w:rFonts w:cs="Arial"/>
          <w:lang w:val="en-US"/>
        </w:rPr>
      </w:pPr>
    </w:p>
    <w:p w:rsidR="00DC6FE9" w:rsidRPr="009D302B" w:rsidRDefault="00DC6FE9" w:rsidP="009D302B">
      <w:pPr>
        <w:pStyle w:val="PargrafodaLista"/>
        <w:numPr>
          <w:ilvl w:val="0"/>
          <w:numId w:val="4"/>
        </w:numPr>
        <w:spacing w:line="360" w:lineRule="auto"/>
        <w:ind w:left="426"/>
        <w:jc w:val="both"/>
        <w:rPr>
          <w:rFonts w:cs="Arial"/>
          <w:b/>
          <w:lang w:val="en-GB"/>
        </w:rPr>
      </w:pPr>
      <w:r w:rsidRPr="009D302B">
        <w:rPr>
          <w:rFonts w:cs="Arial"/>
          <w:b/>
          <w:u w:val="single"/>
          <w:lang w:val="en-GB"/>
        </w:rPr>
        <w:t>Topic II</w:t>
      </w:r>
      <w:r w:rsidRPr="009D302B">
        <w:rPr>
          <w:rFonts w:cs="Arial"/>
          <w:b/>
          <w:lang w:val="en-GB"/>
        </w:rPr>
        <w:t>: Improving immune condition and growth performance in marine fish using nutraceuticals and prebiotics (WP3)</w:t>
      </w:r>
    </w:p>
    <w:p w:rsidR="00DC6FE9" w:rsidRPr="009D302B" w:rsidRDefault="00DC6FE9" w:rsidP="009D302B">
      <w:pPr>
        <w:pStyle w:val="PargrafodaLista"/>
        <w:spacing w:line="360" w:lineRule="auto"/>
        <w:ind w:left="426"/>
        <w:jc w:val="both"/>
        <w:rPr>
          <w:rFonts w:cs="Arial"/>
        </w:rPr>
      </w:pPr>
      <w:proofErr w:type="spellStart"/>
      <w:r w:rsidRPr="009D302B">
        <w:rPr>
          <w:rFonts w:cs="Arial"/>
          <w:b/>
        </w:rPr>
        <w:t>Supervisory</w:t>
      </w:r>
      <w:proofErr w:type="spellEnd"/>
      <w:r w:rsidRPr="009D302B">
        <w:rPr>
          <w:rFonts w:cs="Arial"/>
          <w:b/>
        </w:rPr>
        <w:t xml:space="preserve"> </w:t>
      </w:r>
      <w:proofErr w:type="gramStart"/>
      <w:r w:rsidRPr="009D302B">
        <w:rPr>
          <w:rFonts w:cs="Arial"/>
          <w:b/>
        </w:rPr>
        <w:t>team</w:t>
      </w:r>
      <w:proofErr w:type="gramEnd"/>
      <w:r w:rsidRPr="009D302B">
        <w:rPr>
          <w:rFonts w:cs="Arial"/>
          <w:b/>
        </w:rPr>
        <w:t xml:space="preserve">: </w:t>
      </w:r>
      <w:r w:rsidRPr="009D302B">
        <w:rPr>
          <w:rFonts w:cs="Arial"/>
        </w:rPr>
        <w:t>Benjamin Costas (CIIMAR); Irina Amorim (ICBAS-UP); Sofia Costa Lima (REQUIMTE)</w:t>
      </w:r>
    </w:p>
    <w:p w:rsidR="00DC6FE9" w:rsidRPr="009D302B" w:rsidRDefault="00DC6FE9" w:rsidP="009D302B">
      <w:pPr>
        <w:pStyle w:val="PargrafodaLista"/>
        <w:spacing w:line="360" w:lineRule="auto"/>
        <w:ind w:left="426"/>
        <w:jc w:val="both"/>
        <w:rPr>
          <w:rFonts w:cs="Arial"/>
        </w:rPr>
      </w:pPr>
      <w:r w:rsidRPr="009D302B">
        <w:rPr>
          <w:rFonts w:cs="Arial"/>
          <w:b/>
        </w:rPr>
        <w:t xml:space="preserve">Industrial </w:t>
      </w:r>
      <w:proofErr w:type="spellStart"/>
      <w:r w:rsidRPr="009D302B">
        <w:rPr>
          <w:rFonts w:cs="Arial"/>
          <w:b/>
        </w:rPr>
        <w:t>Representatives</w:t>
      </w:r>
      <w:proofErr w:type="spellEnd"/>
      <w:r w:rsidRPr="009D302B">
        <w:rPr>
          <w:rFonts w:cs="Arial"/>
        </w:rPr>
        <w:t>: Elisabete Matos (SORGAL SA); Luís Conceição (SPAROS)</w:t>
      </w:r>
    </w:p>
    <w:p w:rsidR="00FD0187" w:rsidRPr="009D302B" w:rsidRDefault="005E657E" w:rsidP="00744CE6">
      <w:pPr>
        <w:ind w:left="426"/>
        <w:jc w:val="both"/>
        <w:rPr>
          <w:rFonts w:eastAsia="Times New Roman" w:cs="Arial"/>
          <w:i/>
          <w:sz w:val="20"/>
          <w:szCs w:val="20"/>
          <w:lang w:val="en-US"/>
        </w:rPr>
      </w:pPr>
      <w:r w:rsidRPr="009D302B">
        <w:rPr>
          <w:rFonts w:eastAsia="Times New Roman" w:cs="Arial"/>
          <w:i/>
          <w:sz w:val="20"/>
          <w:szCs w:val="20"/>
          <w:lang w:val="en-US"/>
        </w:rPr>
        <w:t xml:space="preserve">Under intensive culture conditions, fish are subjected to increased stress owing to environmental (water quality and hypoxia) and health conditions (parasites and infectious diseases). All these factors have negative impacts on fish well-being and overall performance, with consequent economic losses. The objective of this thesis is to explore the potential of new nutritional supplements (e.g. </w:t>
      </w:r>
      <w:proofErr w:type="spellStart"/>
      <w:r w:rsidRPr="009D302B">
        <w:rPr>
          <w:rFonts w:eastAsia="Times New Roman" w:cs="Arial"/>
          <w:i/>
          <w:sz w:val="20"/>
          <w:szCs w:val="20"/>
          <w:lang w:val="en-US"/>
        </w:rPr>
        <w:t>phytogenics</w:t>
      </w:r>
      <w:proofErr w:type="spellEnd"/>
      <w:r w:rsidRPr="009D302B">
        <w:rPr>
          <w:rFonts w:eastAsia="Times New Roman" w:cs="Arial"/>
          <w:i/>
          <w:sz w:val="20"/>
          <w:szCs w:val="20"/>
          <w:lang w:val="en-US"/>
        </w:rPr>
        <w:t>, prebiotics and specific nutrients) on improving the nutritional condition, immune mechanisms and disease resistance in marine fish. The project will focus on gilthead seabream or European seabass as target species. Growth trials with an experimental design incorporating a bacterial challenge will be performed. Besides survival and growth performance of fish, transcriptomics and immunohistochemistry approaches will be used to assess the effects. This project should allow the development of fortified commercial diets with specific knowledge-based formulations, hence supporting better farming results in terms of growth and disease susceptibility of fish. Moreover, data generated in the various trials will assist on the identification of biomarkers for immune condition in fish.</w:t>
      </w:r>
    </w:p>
    <w:p w:rsidR="009D302B" w:rsidRPr="009D302B" w:rsidRDefault="009D302B" w:rsidP="0045186C">
      <w:pPr>
        <w:jc w:val="both"/>
        <w:rPr>
          <w:rFonts w:cs="Arial"/>
          <w:lang w:val="en-GB"/>
        </w:rPr>
      </w:pPr>
    </w:p>
    <w:p w:rsidR="009D302B" w:rsidRPr="009D302B" w:rsidRDefault="009D302B" w:rsidP="0045186C">
      <w:pPr>
        <w:jc w:val="both"/>
        <w:rPr>
          <w:rFonts w:cs="Arial"/>
          <w:lang w:val="en-GB"/>
        </w:rPr>
      </w:pPr>
    </w:p>
    <w:p w:rsidR="009D302B" w:rsidRPr="009D302B" w:rsidRDefault="009D302B" w:rsidP="0045186C">
      <w:pPr>
        <w:jc w:val="both"/>
        <w:rPr>
          <w:rFonts w:cs="Arial"/>
          <w:lang w:val="en-GB"/>
        </w:rPr>
      </w:pPr>
    </w:p>
    <w:p w:rsidR="009D302B" w:rsidRPr="009D302B" w:rsidRDefault="009D302B" w:rsidP="0045186C">
      <w:pPr>
        <w:jc w:val="both"/>
        <w:rPr>
          <w:rFonts w:cs="Arial"/>
          <w:lang w:val="en-GB"/>
        </w:rPr>
      </w:pPr>
    </w:p>
    <w:p w:rsidR="009D302B" w:rsidRPr="009D302B" w:rsidRDefault="009D302B" w:rsidP="0045186C">
      <w:pPr>
        <w:jc w:val="both"/>
        <w:rPr>
          <w:rFonts w:cs="Arial"/>
          <w:lang w:val="en-GB"/>
        </w:rPr>
      </w:pPr>
    </w:p>
    <w:p w:rsidR="009D302B" w:rsidRPr="009D302B" w:rsidRDefault="009D302B" w:rsidP="0045186C">
      <w:pPr>
        <w:jc w:val="both"/>
        <w:rPr>
          <w:rFonts w:cs="Arial"/>
          <w:lang w:val="en-GB"/>
        </w:rPr>
      </w:pPr>
    </w:p>
    <w:p w:rsidR="00DC6FE9" w:rsidRPr="009D302B" w:rsidRDefault="00DC6FE9" w:rsidP="009D302B">
      <w:pPr>
        <w:pStyle w:val="PargrafodaLista"/>
        <w:numPr>
          <w:ilvl w:val="0"/>
          <w:numId w:val="4"/>
        </w:numPr>
        <w:spacing w:line="360" w:lineRule="auto"/>
        <w:ind w:left="426"/>
        <w:jc w:val="both"/>
        <w:rPr>
          <w:rFonts w:cs="Arial"/>
          <w:b/>
          <w:lang w:val="en-GB"/>
        </w:rPr>
      </w:pPr>
      <w:r w:rsidRPr="009D302B">
        <w:rPr>
          <w:rFonts w:cs="Arial"/>
          <w:b/>
          <w:u w:val="single"/>
          <w:lang w:val="en-GB"/>
        </w:rPr>
        <w:t>Topic I</w:t>
      </w:r>
      <w:r w:rsidRPr="009D302B">
        <w:rPr>
          <w:rFonts w:cs="Arial"/>
          <w:b/>
          <w:u w:val="single"/>
          <w:lang w:val="en-GB"/>
        </w:rPr>
        <w:t>II</w:t>
      </w:r>
      <w:r w:rsidRPr="009D302B">
        <w:rPr>
          <w:rFonts w:cs="Arial"/>
          <w:b/>
          <w:lang w:val="en-GB"/>
        </w:rPr>
        <w:t>: Improving growth performance of fish larvae through early nutrition (WP1)</w:t>
      </w:r>
    </w:p>
    <w:p w:rsidR="00DC6FE9" w:rsidRPr="009D302B" w:rsidRDefault="00DC6FE9" w:rsidP="009D302B">
      <w:pPr>
        <w:pStyle w:val="PargrafodaLista"/>
        <w:spacing w:line="360" w:lineRule="auto"/>
        <w:ind w:left="426"/>
        <w:jc w:val="both"/>
        <w:rPr>
          <w:rFonts w:eastAsia="Times New Roman" w:cs="Arial"/>
          <w:lang w:eastAsia="pt-PT"/>
        </w:rPr>
      </w:pPr>
      <w:proofErr w:type="spellStart"/>
      <w:r w:rsidRPr="009D302B">
        <w:rPr>
          <w:rFonts w:cs="Arial"/>
          <w:b/>
        </w:rPr>
        <w:t>Supervisory</w:t>
      </w:r>
      <w:proofErr w:type="spellEnd"/>
      <w:r w:rsidRPr="009D302B">
        <w:rPr>
          <w:rFonts w:cs="Arial"/>
          <w:b/>
        </w:rPr>
        <w:t xml:space="preserve"> </w:t>
      </w:r>
      <w:proofErr w:type="gramStart"/>
      <w:r w:rsidRPr="009D302B">
        <w:rPr>
          <w:rFonts w:cs="Arial"/>
          <w:b/>
        </w:rPr>
        <w:t>team</w:t>
      </w:r>
      <w:proofErr w:type="gramEnd"/>
      <w:r w:rsidRPr="009D302B">
        <w:rPr>
          <w:rFonts w:cs="Arial"/>
          <w:b/>
        </w:rPr>
        <w:t xml:space="preserve">: </w:t>
      </w:r>
      <w:r w:rsidRPr="009D302B">
        <w:rPr>
          <w:rFonts w:cs="Arial"/>
        </w:rPr>
        <w:t>Sofia Engrola (CCMAR); Luís E. C. Conceição (SPAROS); Luísa M. P. Valente (CIIMAR/ICBAS-UP)</w:t>
      </w:r>
    </w:p>
    <w:p w:rsidR="00DC6FE9" w:rsidRPr="009D302B" w:rsidRDefault="00DC6FE9" w:rsidP="009D302B">
      <w:pPr>
        <w:pStyle w:val="PargrafodaLista"/>
        <w:spacing w:line="360" w:lineRule="auto"/>
        <w:ind w:left="426"/>
        <w:jc w:val="both"/>
        <w:rPr>
          <w:rFonts w:cs="Arial"/>
          <w:b/>
        </w:rPr>
      </w:pPr>
      <w:r w:rsidRPr="009D302B">
        <w:rPr>
          <w:rFonts w:cs="Arial"/>
          <w:b/>
        </w:rPr>
        <w:t xml:space="preserve">Industrial </w:t>
      </w:r>
      <w:proofErr w:type="spellStart"/>
      <w:r w:rsidRPr="009D302B">
        <w:rPr>
          <w:rFonts w:cs="Arial"/>
          <w:b/>
        </w:rPr>
        <w:t>Representative</w:t>
      </w:r>
      <w:proofErr w:type="spellEnd"/>
      <w:r w:rsidRPr="009D302B">
        <w:rPr>
          <w:rFonts w:cs="Arial"/>
        </w:rPr>
        <w:t>: Luís E. C. Conceição (SPAROS)</w:t>
      </w:r>
    </w:p>
    <w:p w:rsidR="005E657E" w:rsidRPr="009D302B" w:rsidRDefault="005E657E" w:rsidP="00744CE6">
      <w:pPr>
        <w:ind w:left="426"/>
        <w:jc w:val="both"/>
        <w:rPr>
          <w:rFonts w:eastAsia="Times New Roman" w:cs="Arial"/>
          <w:i/>
          <w:sz w:val="20"/>
          <w:szCs w:val="20"/>
          <w:lang w:val="en-US"/>
        </w:rPr>
      </w:pPr>
      <w:r w:rsidRPr="009D302B">
        <w:rPr>
          <w:rFonts w:eastAsia="Times New Roman" w:cs="Arial"/>
          <w:i/>
          <w:sz w:val="20"/>
          <w:szCs w:val="20"/>
          <w:lang w:val="en-US"/>
        </w:rPr>
        <w:t>The main objective of this proposal is to increase the knowledge regarding the effects of nutritional strategies at very early stage of development in order to improve growth performance in fish larvae. As nutrition is a key regulator of protein accretion, understanding the major regulators of protein homeostasis is paramount for improved protein retention. The rates of protein synthesis and degradation in muscle cells is tightly regulated as even a small increase in synthesis or small reduction in degradation, if sustained, may result in a marked accretion of muscle. This project will integrate the novel concept of metabolic programming with performance, physiological, transcriptomics, and muscle cellularity indicators, in order to verify how larva protein accretion machinery may be enhanced. This project will create the scientific basis for an improved diet formulation for Senegalese sole and other fish larvae.</w:t>
      </w:r>
    </w:p>
    <w:p w:rsidR="005E657E" w:rsidRDefault="005E657E" w:rsidP="0045186C">
      <w:pPr>
        <w:jc w:val="both"/>
        <w:rPr>
          <w:rFonts w:eastAsia="Times New Roman" w:cs="Arial"/>
          <w:lang w:val="en-US"/>
        </w:rPr>
      </w:pPr>
    </w:p>
    <w:p w:rsidR="00744CE6" w:rsidRPr="005E657E" w:rsidRDefault="00744CE6" w:rsidP="0045186C">
      <w:pPr>
        <w:jc w:val="both"/>
        <w:rPr>
          <w:rFonts w:eastAsia="Times New Roman" w:cs="Arial"/>
          <w:lang w:val="en-US"/>
        </w:rPr>
      </w:pPr>
    </w:p>
    <w:p w:rsidR="00DC6FE9" w:rsidRPr="00CF7953" w:rsidRDefault="00DC6FE9" w:rsidP="009D302B">
      <w:pPr>
        <w:pStyle w:val="PargrafodaLista"/>
        <w:numPr>
          <w:ilvl w:val="0"/>
          <w:numId w:val="4"/>
        </w:numPr>
        <w:spacing w:line="360" w:lineRule="auto"/>
        <w:ind w:left="426"/>
        <w:jc w:val="both"/>
        <w:rPr>
          <w:rFonts w:cs="Arial"/>
          <w:b/>
          <w:lang w:val="en-GB"/>
        </w:rPr>
      </w:pPr>
      <w:r w:rsidRPr="00DC6FE9">
        <w:rPr>
          <w:rFonts w:cs="Arial"/>
          <w:b/>
          <w:u w:val="single"/>
          <w:lang w:val="en-GB"/>
        </w:rPr>
        <w:t>Topic I</w:t>
      </w:r>
      <w:r>
        <w:rPr>
          <w:rFonts w:cs="Arial"/>
          <w:b/>
          <w:u w:val="single"/>
          <w:lang w:val="en-GB"/>
        </w:rPr>
        <w:t>V</w:t>
      </w:r>
      <w:r w:rsidRPr="00CF7953">
        <w:rPr>
          <w:rFonts w:cs="Arial"/>
          <w:b/>
          <w:lang w:val="en-GB"/>
        </w:rPr>
        <w:t xml:space="preserve">: Dietary seaweed supplementation in </w:t>
      </w:r>
      <w:proofErr w:type="spellStart"/>
      <w:r w:rsidRPr="00CF7953">
        <w:rPr>
          <w:rFonts w:cs="Arial"/>
          <w:b/>
          <w:i/>
          <w:lang w:val="en-GB"/>
        </w:rPr>
        <w:t>Sparus</w:t>
      </w:r>
      <w:proofErr w:type="spellEnd"/>
      <w:r w:rsidRPr="00CF7953">
        <w:rPr>
          <w:rFonts w:cs="Arial"/>
          <w:b/>
          <w:i/>
          <w:lang w:val="en-GB"/>
        </w:rPr>
        <w:t xml:space="preserve"> </w:t>
      </w:r>
      <w:proofErr w:type="spellStart"/>
      <w:r w:rsidRPr="00CF7953">
        <w:rPr>
          <w:rFonts w:cs="Arial"/>
          <w:b/>
          <w:i/>
          <w:lang w:val="en-GB"/>
        </w:rPr>
        <w:t>aurata</w:t>
      </w:r>
      <w:proofErr w:type="spellEnd"/>
      <w:r w:rsidRPr="00CF7953">
        <w:rPr>
          <w:rFonts w:cs="Arial"/>
          <w:b/>
          <w:lang w:val="en-GB"/>
        </w:rPr>
        <w:t xml:space="preserve"> and </w:t>
      </w:r>
      <w:proofErr w:type="spellStart"/>
      <w:r w:rsidRPr="00CF7953">
        <w:rPr>
          <w:rFonts w:cs="Arial"/>
          <w:b/>
          <w:i/>
          <w:lang w:val="en-GB"/>
        </w:rPr>
        <w:t>Dicentrarchus</w:t>
      </w:r>
      <w:proofErr w:type="spellEnd"/>
      <w:r w:rsidRPr="00CF7953">
        <w:rPr>
          <w:rFonts w:cs="Arial"/>
          <w:b/>
          <w:i/>
          <w:lang w:val="en-GB"/>
        </w:rPr>
        <w:t xml:space="preserve"> </w:t>
      </w:r>
      <w:proofErr w:type="spellStart"/>
      <w:r w:rsidRPr="00CF7953">
        <w:rPr>
          <w:rFonts w:cs="Arial"/>
          <w:b/>
          <w:i/>
          <w:lang w:val="en-GB"/>
        </w:rPr>
        <w:t>labrax</w:t>
      </w:r>
      <w:proofErr w:type="spellEnd"/>
      <w:r w:rsidRPr="00CF7953">
        <w:rPr>
          <w:rFonts w:cs="Arial"/>
          <w:b/>
          <w:i/>
          <w:lang w:val="en-GB"/>
        </w:rPr>
        <w:t xml:space="preserve"> diets</w:t>
      </w:r>
      <w:r w:rsidRPr="00CF7953">
        <w:rPr>
          <w:rFonts w:cs="Arial"/>
          <w:b/>
          <w:lang w:val="en-GB"/>
        </w:rPr>
        <w:t>: Effects on feed utilization, aerobic scope and modulatory response against biotic and abiotic stressors in cultured fish (WP1)</w:t>
      </w:r>
    </w:p>
    <w:p w:rsidR="00DC6FE9" w:rsidRPr="009D302B" w:rsidRDefault="00DC6FE9" w:rsidP="009D302B">
      <w:pPr>
        <w:pStyle w:val="PargrafodaLista"/>
        <w:spacing w:line="360" w:lineRule="auto"/>
        <w:ind w:left="426"/>
        <w:jc w:val="both"/>
        <w:rPr>
          <w:rFonts w:cs="Arial"/>
        </w:rPr>
      </w:pPr>
      <w:proofErr w:type="spellStart"/>
      <w:r w:rsidRPr="009D302B">
        <w:rPr>
          <w:rFonts w:cs="Arial"/>
          <w:b/>
        </w:rPr>
        <w:t>Supervisory</w:t>
      </w:r>
      <w:proofErr w:type="spellEnd"/>
      <w:r w:rsidRPr="009D302B">
        <w:rPr>
          <w:rFonts w:cs="Arial"/>
          <w:b/>
        </w:rPr>
        <w:t xml:space="preserve"> </w:t>
      </w:r>
      <w:proofErr w:type="gramStart"/>
      <w:r w:rsidRPr="009D302B">
        <w:rPr>
          <w:rFonts w:cs="Arial"/>
          <w:b/>
        </w:rPr>
        <w:t>team</w:t>
      </w:r>
      <w:proofErr w:type="gramEnd"/>
      <w:r w:rsidRPr="009D302B">
        <w:rPr>
          <w:rFonts w:cs="Arial"/>
          <w:b/>
        </w:rPr>
        <w:t xml:space="preserve">: </w:t>
      </w:r>
      <w:r w:rsidRPr="009D302B">
        <w:rPr>
          <w:rFonts w:cs="Arial"/>
        </w:rPr>
        <w:t xml:space="preserve">Leonardo </w:t>
      </w:r>
      <w:proofErr w:type="spellStart"/>
      <w:r w:rsidRPr="009D302B">
        <w:rPr>
          <w:rFonts w:cs="Arial"/>
        </w:rPr>
        <w:t>Magnoni</w:t>
      </w:r>
      <w:proofErr w:type="spellEnd"/>
      <w:r w:rsidRPr="009D302B">
        <w:rPr>
          <w:rFonts w:cs="Arial"/>
        </w:rPr>
        <w:t xml:space="preserve"> (CIIMAR); Rui Pereira (</w:t>
      </w:r>
      <w:proofErr w:type="spellStart"/>
      <w:r w:rsidRPr="009D302B">
        <w:rPr>
          <w:rFonts w:cs="Arial"/>
        </w:rPr>
        <w:t>ALGAplus</w:t>
      </w:r>
      <w:proofErr w:type="spellEnd"/>
      <w:r w:rsidRPr="009D302B">
        <w:rPr>
          <w:rFonts w:cs="Arial"/>
        </w:rPr>
        <w:t>); Anake Kijjoa (CIIMAR/ICBAS-UP)</w:t>
      </w:r>
    </w:p>
    <w:p w:rsidR="00DC6FE9" w:rsidRPr="009D302B" w:rsidRDefault="00DC6FE9" w:rsidP="009D302B">
      <w:pPr>
        <w:pStyle w:val="PargrafodaLista"/>
        <w:spacing w:line="360" w:lineRule="auto"/>
        <w:ind w:left="426"/>
        <w:jc w:val="both"/>
        <w:rPr>
          <w:rFonts w:cs="Arial"/>
        </w:rPr>
      </w:pPr>
      <w:r w:rsidRPr="009D302B">
        <w:rPr>
          <w:rFonts w:cs="Arial"/>
          <w:b/>
        </w:rPr>
        <w:t xml:space="preserve">Industrial </w:t>
      </w:r>
      <w:proofErr w:type="spellStart"/>
      <w:r w:rsidRPr="009D302B">
        <w:rPr>
          <w:rFonts w:cs="Arial"/>
          <w:b/>
        </w:rPr>
        <w:t>Representative</w:t>
      </w:r>
      <w:proofErr w:type="spellEnd"/>
      <w:r w:rsidRPr="009D302B">
        <w:rPr>
          <w:rFonts w:cs="Arial"/>
        </w:rPr>
        <w:t>: Helena Abreu (</w:t>
      </w:r>
      <w:proofErr w:type="spellStart"/>
      <w:r w:rsidRPr="009D302B">
        <w:rPr>
          <w:rFonts w:cs="Arial"/>
        </w:rPr>
        <w:t>ALGAplus</w:t>
      </w:r>
      <w:proofErr w:type="spellEnd"/>
      <w:r w:rsidRPr="009D302B">
        <w:rPr>
          <w:rFonts w:cs="Arial"/>
        </w:rPr>
        <w:t>)</w:t>
      </w:r>
    </w:p>
    <w:p w:rsidR="00DC6FE9" w:rsidRPr="009D302B" w:rsidRDefault="005E657E" w:rsidP="00744CE6">
      <w:pPr>
        <w:ind w:left="426"/>
        <w:jc w:val="both"/>
        <w:rPr>
          <w:rFonts w:eastAsia="Times New Roman" w:cs="Arial"/>
          <w:i/>
          <w:sz w:val="20"/>
          <w:szCs w:val="20"/>
          <w:lang w:val="en-US"/>
        </w:rPr>
      </w:pPr>
      <w:r w:rsidRPr="009D302B">
        <w:rPr>
          <w:rFonts w:eastAsia="Times New Roman" w:cs="Arial"/>
          <w:i/>
          <w:sz w:val="20"/>
          <w:szCs w:val="20"/>
          <w:lang w:val="en-US"/>
        </w:rPr>
        <w:t xml:space="preserve">Seaweed (SW) may be a good alternative to traditional protein sources used in fish feed. In addition, SW </w:t>
      </w:r>
      <w:proofErr w:type="gramStart"/>
      <w:r w:rsidRPr="009D302B">
        <w:rPr>
          <w:rFonts w:eastAsia="Times New Roman" w:cs="Arial"/>
          <w:i/>
          <w:sz w:val="20"/>
          <w:szCs w:val="20"/>
          <w:lang w:val="en-US"/>
        </w:rPr>
        <w:t>are</w:t>
      </w:r>
      <w:proofErr w:type="gramEnd"/>
      <w:r w:rsidRPr="009D302B">
        <w:rPr>
          <w:rFonts w:eastAsia="Times New Roman" w:cs="Arial"/>
          <w:i/>
          <w:sz w:val="20"/>
          <w:szCs w:val="20"/>
          <w:lang w:val="en-US"/>
        </w:rPr>
        <w:t xml:space="preserve"> a good source of bioactive compounds with anti-oxidant and anti-inflammatory properties. Thus, the use of SW as dietary additive may be an adjuvant therapeutic strategy to sustain fish welfare under sub-optimal aquaculture conditions. However, chemical composition of SW may depend on environmental factors. The effects of culture conditions on nutritional properties of SW, including the presence/quantity of </w:t>
      </w:r>
      <w:proofErr w:type="spellStart"/>
      <w:r w:rsidRPr="009D302B">
        <w:rPr>
          <w:rFonts w:eastAsia="Times New Roman" w:cs="Arial"/>
          <w:i/>
          <w:sz w:val="20"/>
          <w:szCs w:val="20"/>
          <w:lang w:val="en-US"/>
        </w:rPr>
        <w:t>bioactivite</w:t>
      </w:r>
      <w:proofErr w:type="spellEnd"/>
      <w:r w:rsidRPr="009D302B">
        <w:rPr>
          <w:rFonts w:eastAsia="Times New Roman" w:cs="Arial"/>
          <w:i/>
          <w:sz w:val="20"/>
          <w:szCs w:val="20"/>
          <w:lang w:val="en-US"/>
        </w:rPr>
        <w:t xml:space="preserve"> compounds remain to be elucidated. Furthermore, the modulation of antioxidant and immune responses in cultured fish, such as sea bream (</w:t>
      </w:r>
      <w:proofErr w:type="spellStart"/>
      <w:r w:rsidRPr="009D302B">
        <w:rPr>
          <w:rFonts w:eastAsia="Times New Roman" w:cs="Arial"/>
          <w:i/>
          <w:sz w:val="20"/>
          <w:szCs w:val="20"/>
          <w:lang w:val="en-US"/>
        </w:rPr>
        <w:t>Sparus</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aurata</w:t>
      </w:r>
      <w:proofErr w:type="spellEnd"/>
      <w:r w:rsidRPr="009D302B">
        <w:rPr>
          <w:rFonts w:eastAsia="Times New Roman" w:cs="Arial"/>
          <w:i/>
          <w:sz w:val="20"/>
          <w:szCs w:val="20"/>
          <w:lang w:val="en-US"/>
        </w:rPr>
        <w:t>) and sea bass (</w:t>
      </w:r>
      <w:proofErr w:type="spellStart"/>
      <w:r w:rsidRPr="009D302B">
        <w:rPr>
          <w:rFonts w:eastAsia="Times New Roman" w:cs="Arial"/>
          <w:i/>
          <w:sz w:val="20"/>
          <w:szCs w:val="20"/>
          <w:lang w:val="en-US"/>
        </w:rPr>
        <w:t>Dicentrarchus</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labrax</w:t>
      </w:r>
      <w:proofErr w:type="spellEnd"/>
      <w:r w:rsidRPr="009D302B">
        <w:rPr>
          <w:rFonts w:eastAsia="Times New Roman" w:cs="Arial"/>
          <w:i/>
          <w:sz w:val="20"/>
          <w:szCs w:val="20"/>
          <w:lang w:val="en-US"/>
        </w:rPr>
        <w:t>) by dietary SW supplementation still requires investigation, particularly during biotic or abiotic challenges.</w:t>
      </w:r>
      <w:r w:rsidR="009D302B" w:rsidRPr="009D302B">
        <w:rPr>
          <w:rFonts w:eastAsia="Times New Roman" w:cs="Arial"/>
          <w:i/>
          <w:sz w:val="20"/>
          <w:szCs w:val="20"/>
          <w:lang w:val="en-US"/>
        </w:rPr>
        <w:t xml:space="preserve"> </w:t>
      </w:r>
      <w:r w:rsidRPr="009D302B">
        <w:rPr>
          <w:rFonts w:eastAsia="Times New Roman" w:cs="Arial"/>
          <w:i/>
          <w:sz w:val="20"/>
          <w:szCs w:val="20"/>
          <w:lang w:val="en-US"/>
        </w:rPr>
        <w:t>Objectives:</w:t>
      </w:r>
      <w:r w:rsidRPr="009D302B">
        <w:rPr>
          <w:rFonts w:eastAsia="Times New Roman" w:cs="Arial"/>
          <w:i/>
          <w:sz w:val="20"/>
          <w:szCs w:val="20"/>
          <w:lang w:val="en-US"/>
        </w:rPr>
        <w:t xml:space="preserve"> 1) </w:t>
      </w:r>
      <w:r w:rsidR="000E5D20" w:rsidRPr="009D302B">
        <w:rPr>
          <w:rFonts w:eastAsia="Times New Roman" w:cs="Arial"/>
          <w:i/>
          <w:sz w:val="20"/>
          <w:szCs w:val="20"/>
          <w:lang w:val="en-US"/>
        </w:rPr>
        <w:t>d</w:t>
      </w:r>
      <w:r w:rsidRPr="009D302B">
        <w:rPr>
          <w:rFonts w:eastAsia="Times New Roman" w:cs="Arial"/>
          <w:i/>
          <w:sz w:val="20"/>
          <w:szCs w:val="20"/>
          <w:lang w:val="en-US"/>
        </w:rPr>
        <w:t xml:space="preserve">etermine the effect of different culture conditions of </w:t>
      </w:r>
      <w:proofErr w:type="spellStart"/>
      <w:r w:rsidRPr="009D302B">
        <w:rPr>
          <w:rFonts w:eastAsia="Times New Roman" w:cs="Arial"/>
          <w:i/>
          <w:sz w:val="20"/>
          <w:szCs w:val="20"/>
          <w:lang w:val="en-US"/>
        </w:rPr>
        <w:t>Porphyra</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dioica</w:t>
      </w:r>
      <w:proofErr w:type="spellEnd"/>
      <w:r w:rsidRPr="009D302B">
        <w:rPr>
          <w:rFonts w:eastAsia="Times New Roman" w:cs="Arial"/>
          <w:i/>
          <w:sz w:val="20"/>
          <w:szCs w:val="20"/>
          <w:lang w:val="en-US"/>
        </w:rPr>
        <w:t xml:space="preserve"> and Ulva sp. in the nutritional composition of the </w:t>
      </w:r>
      <w:r w:rsidRPr="009D302B">
        <w:rPr>
          <w:rFonts w:eastAsia="Times New Roman" w:cs="Arial"/>
          <w:i/>
          <w:sz w:val="20"/>
          <w:szCs w:val="20"/>
          <w:lang w:val="en-US"/>
        </w:rPr>
        <w:t xml:space="preserve">SW and its bioactivity capacity; 2) </w:t>
      </w:r>
      <w:r w:rsidR="000E5D20" w:rsidRPr="009D302B">
        <w:rPr>
          <w:rFonts w:eastAsia="Times New Roman" w:cs="Arial"/>
          <w:i/>
          <w:sz w:val="20"/>
          <w:szCs w:val="20"/>
          <w:lang w:val="en-US"/>
        </w:rPr>
        <w:t>s</w:t>
      </w:r>
      <w:r w:rsidRPr="009D302B">
        <w:rPr>
          <w:rFonts w:eastAsia="Times New Roman" w:cs="Arial"/>
          <w:i/>
          <w:sz w:val="20"/>
          <w:szCs w:val="20"/>
          <w:lang w:val="en-US"/>
        </w:rPr>
        <w:t xml:space="preserve">tudy the potential use of </w:t>
      </w:r>
      <w:proofErr w:type="spellStart"/>
      <w:r w:rsidRPr="009D302B">
        <w:rPr>
          <w:rFonts w:eastAsia="Times New Roman" w:cs="Arial"/>
          <w:i/>
          <w:sz w:val="20"/>
          <w:szCs w:val="20"/>
          <w:lang w:val="en-US"/>
        </w:rPr>
        <w:t>Porphyra</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dioica</w:t>
      </w:r>
      <w:proofErr w:type="spellEnd"/>
      <w:r w:rsidRPr="009D302B">
        <w:rPr>
          <w:rFonts w:eastAsia="Times New Roman" w:cs="Arial"/>
          <w:i/>
          <w:sz w:val="20"/>
          <w:szCs w:val="20"/>
          <w:lang w:val="en-US"/>
        </w:rPr>
        <w:t xml:space="preserve"> and Ulva sp. as a dietary source for protein in </w:t>
      </w:r>
      <w:proofErr w:type="spellStart"/>
      <w:r w:rsidRPr="009D302B">
        <w:rPr>
          <w:rFonts w:eastAsia="Times New Roman" w:cs="Arial"/>
          <w:i/>
          <w:sz w:val="20"/>
          <w:szCs w:val="20"/>
          <w:lang w:val="en-US"/>
        </w:rPr>
        <w:t>Sparus</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aurata</w:t>
      </w:r>
      <w:proofErr w:type="spellEnd"/>
      <w:r w:rsidRPr="009D302B">
        <w:rPr>
          <w:rFonts w:eastAsia="Times New Roman" w:cs="Arial"/>
          <w:i/>
          <w:sz w:val="20"/>
          <w:szCs w:val="20"/>
          <w:lang w:val="en-US"/>
        </w:rPr>
        <w:t xml:space="preserve"> and </w:t>
      </w:r>
      <w:proofErr w:type="spellStart"/>
      <w:r w:rsidRPr="009D302B">
        <w:rPr>
          <w:rFonts w:eastAsia="Times New Roman" w:cs="Arial"/>
          <w:i/>
          <w:sz w:val="20"/>
          <w:szCs w:val="20"/>
          <w:lang w:val="en-US"/>
        </w:rPr>
        <w:t>Dicentrarchus</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labrax</w:t>
      </w:r>
      <w:proofErr w:type="spellEnd"/>
      <w:r w:rsidRPr="009D302B">
        <w:rPr>
          <w:rFonts w:eastAsia="Times New Roman" w:cs="Arial"/>
          <w:i/>
          <w:sz w:val="20"/>
          <w:szCs w:val="20"/>
          <w:lang w:val="en-US"/>
        </w:rPr>
        <w:t xml:space="preserve"> diets, studying changes in growt</w:t>
      </w:r>
      <w:r w:rsidRPr="009D302B">
        <w:rPr>
          <w:rFonts w:eastAsia="Times New Roman" w:cs="Arial"/>
          <w:i/>
          <w:sz w:val="20"/>
          <w:szCs w:val="20"/>
          <w:lang w:val="en-US"/>
        </w:rPr>
        <w:t xml:space="preserve">h performance and digestibility; 3) </w:t>
      </w:r>
      <w:r w:rsidR="000E5D20" w:rsidRPr="009D302B">
        <w:rPr>
          <w:rFonts w:eastAsia="Times New Roman" w:cs="Arial"/>
          <w:i/>
          <w:sz w:val="20"/>
          <w:szCs w:val="20"/>
          <w:lang w:val="en-US"/>
        </w:rPr>
        <w:t>d</w:t>
      </w:r>
      <w:r w:rsidRPr="009D302B">
        <w:rPr>
          <w:rFonts w:eastAsia="Times New Roman" w:cs="Arial"/>
          <w:i/>
          <w:sz w:val="20"/>
          <w:szCs w:val="20"/>
          <w:lang w:val="en-US"/>
        </w:rPr>
        <w:t xml:space="preserve">etermine possible effects of dietary supplementation of </w:t>
      </w:r>
      <w:proofErr w:type="spellStart"/>
      <w:r w:rsidRPr="009D302B">
        <w:rPr>
          <w:rFonts w:eastAsia="Times New Roman" w:cs="Arial"/>
          <w:i/>
          <w:sz w:val="20"/>
          <w:szCs w:val="20"/>
          <w:lang w:val="en-US"/>
        </w:rPr>
        <w:t>Porphyra</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dioica</w:t>
      </w:r>
      <w:proofErr w:type="spellEnd"/>
      <w:r w:rsidRPr="009D302B">
        <w:rPr>
          <w:rFonts w:eastAsia="Times New Roman" w:cs="Arial"/>
          <w:i/>
          <w:sz w:val="20"/>
          <w:szCs w:val="20"/>
          <w:lang w:val="en-US"/>
        </w:rPr>
        <w:t xml:space="preserve"> and Ulva sp. (raw vs. extracts) on </w:t>
      </w:r>
      <w:proofErr w:type="spellStart"/>
      <w:r w:rsidRPr="009D302B">
        <w:rPr>
          <w:rFonts w:eastAsia="Times New Roman" w:cs="Arial"/>
          <w:i/>
          <w:sz w:val="20"/>
          <w:szCs w:val="20"/>
          <w:lang w:val="en-US"/>
        </w:rPr>
        <w:t>Sparus</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aurata</w:t>
      </w:r>
      <w:proofErr w:type="spellEnd"/>
      <w:r w:rsidRPr="009D302B">
        <w:rPr>
          <w:rFonts w:eastAsia="Times New Roman" w:cs="Arial"/>
          <w:i/>
          <w:sz w:val="20"/>
          <w:szCs w:val="20"/>
          <w:lang w:val="en-US"/>
        </w:rPr>
        <w:t xml:space="preserve"> and </w:t>
      </w:r>
      <w:proofErr w:type="spellStart"/>
      <w:r w:rsidRPr="009D302B">
        <w:rPr>
          <w:rFonts w:eastAsia="Times New Roman" w:cs="Arial"/>
          <w:i/>
          <w:sz w:val="20"/>
          <w:szCs w:val="20"/>
          <w:lang w:val="en-US"/>
        </w:rPr>
        <w:t>Dicentrarchus</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labrax</w:t>
      </w:r>
      <w:proofErr w:type="spellEnd"/>
      <w:r w:rsidRPr="009D302B">
        <w:rPr>
          <w:rFonts w:eastAsia="Times New Roman" w:cs="Arial"/>
          <w:i/>
          <w:sz w:val="20"/>
          <w:szCs w:val="20"/>
          <w:lang w:val="en-US"/>
        </w:rPr>
        <w:t xml:space="preserve"> subjected to an abiotic stress, by analyzing growth performance, DNA’s cellular integrity, aerobic scope and enzymatic activities/ gene expression related with me</w:t>
      </w:r>
      <w:r w:rsidRPr="009D302B">
        <w:rPr>
          <w:rFonts w:eastAsia="Times New Roman" w:cs="Arial"/>
          <w:i/>
          <w:sz w:val="20"/>
          <w:szCs w:val="20"/>
          <w:lang w:val="en-US"/>
        </w:rPr>
        <w:t xml:space="preserve">chanisms of cellular protection; and 4) </w:t>
      </w:r>
      <w:r w:rsidR="000E5D20" w:rsidRPr="009D302B">
        <w:rPr>
          <w:rFonts w:eastAsia="Times New Roman" w:cs="Arial"/>
          <w:i/>
          <w:sz w:val="20"/>
          <w:szCs w:val="20"/>
          <w:lang w:val="en-US"/>
        </w:rPr>
        <w:t>s</w:t>
      </w:r>
      <w:r w:rsidRPr="009D302B">
        <w:rPr>
          <w:rFonts w:eastAsia="Times New Roman" w:cs="Arial"/>
          <w:i/>
          <w:sz w:val="20"/>
          <w:szCs w:val="20"/>
          <w:lang w:val="en-US"/>
        </w:rPr>
        <w:t xml:space="preserve">tudy the effect of dietary supplementation with </w:t>
      </w:r>
      <w:proofErr w:type="spellStart"/>
      <w:r w:rsidRPr="009D302B">
        <w:rPr>
          <w:rFonts w:eastAsia="Times New Roman" w:cs="Arial"/>
          <w:i/>
          <w:sz w:val="20"/>
          <w:szCs w:val="20"/>
          <w:lang w:val="en-US"/>
        </w:rPr>
        <w:t>Porphyra</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dioica</w:t>
      </w:r>
      <w:proofErr w:type="spellEnd"/>
      <w:r w:rsidRPr="009D302B">
        <w:rPr>
          <w:rFonts w:eastAsia="Times New Roman" w:cs="Arial"/>
          <w:i/>
          <w:sz w:val="20"/>
          <w:szCs w:val="20"/>
          <w:lang w:val="en-US"/>
        </w:rPr>
        <w:t xml:space="preserve"> and Ulva sp. extracts on </w:t>
      </w:r>
      <w:proofErr w:type="spellStart"/>
      <w:r w:rsidRPr="009D302B">
        <w:rPr>
          <w:rFonts w:eastAsia="Times New Roman" w:cs="Arial"/>
          <w:i/>
          <w:sz w:val="20"/>
          <w:szCs w:val="20"/>
          <w:lang w:val="en-US"/>
        </w:rPr>
        <w:t>Sparus</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aurata</w:t>
      </w:r>
      <w:proofErr w:type="spellEnd"/>
      <w:r w:rsidRPr="009D302B">
        <w:rPr>
          <w:rFonts w:eastAsia="Times New Roman" w:cs="Arial"/>
          <w:i/>
          <w:sz w:val="20"/>
          <w:szCs w:val="20"/>
          <w:lang w:val="en-US"/>
        </w:rPr>
        <w:t xml:space="preserve"> and </w:t>
      </w:r>
      <w:proofErr w:type="spellStart"/>
      <w:r w:rsidRPr="009D302B">
        <w:rPr>
          <w:rFonts w:eastAsia="Times New Roman" w:cs="Arial"/>
          <w:i/>
          <w:sz w:val="20"/>
          <w:szCs w:val="20"/>
          <w:lang w:val="en-US"/>
        </w:rPr>
        <w:t>Dicentrarchus</w:t>
      </w:r>
      <w:proofErr w:type="spellEnd"/>
      <w:r w:rsidRPr="009D302B">
        <w:rPr>
          <w:rFonts w:eastAsia="Times New Roman" w:cs="Arial"/>
          <w:i/>
          <w:sz w:val="20"/>
          <w:szCs w:val="20"/>
          <w:lang w:val="en-US"/>
        </w:rPr>
        <w:t xml:space="preserve"> </w:t>
      </w:r>
      <w:proofErr w:type="spellStart"/>
      <w:r w:rsidRPr="009D302B">
        <w:rPr>
          <w:rFonts w:eastAsia="Times New Roman" w:cs="Arial"/>
          <w:i/>
          <w:sz w:val="20"/>
          <w:szCs w:val="20"/>
          <w:lang w:val="en-US"/>
        </w:rPr>
        <w:t>labrax</w:t>
      </w:r>
      <w:proofErr w:type="spellEnd"/>
      <w:r w:rsidRPr="009D302B">
        <w:rPr>
          <w:rFonts w:eastAsia="Times New Roman" w:cs="Arial"/>
          <w:i/>
          <w:sz w:val="20"/>
          <w:szCs w:val="20"/>
          <w:lang w:val="en-US"/>
        </w:rPr>
        <w:t xml:space="preserve"> when subjected to a bacterial challenge, by analyzing the immune response and enzymatic and non-enzymatic antioxidant activities.</w:t>
      </w:r>
    </w:p>
    <w:p w:rsidR="005E657E" w:rsidRPr="005E657E" w:rsidRDefault="005E657E" w:rsidP="0045186C">
      <w:pPr>
        <w:jc w:val="both"/>
        <w:rPr>
          <w:rFonts w:eastAsia="Times New Roman" w:cs="Arial"/>
          <w:lang w:val="en-US"/>
        </w:rPr>
      </w:pPr>
    </w:p>
    <w:p w:rsidR="005E657E" w:rsidRDefault="005E657E" w:rsidP="0045186C">
      <w:pPr>
        <w:jc w:val="both"/>
        <w:rPr>
          <w:rFonts w:eastAsia="Times New Roman" w:cs="Arial"/>
          <w:lang w:val="en-US"/>
        </w:rPr>
      </w:pPr>
    </w:p>
    <w:p w:rsidR="009D302B" w:rsidRDefault="009D302B" w:rsidP="0045186C">
      <w:pPr>
        <w:jc w:val="both"/>
        <w:rPr>
          <w:rFonts w:eastAsia="Times New Roman" w:cs="Arial"/>
          <w:lang w:val="en-US"/>
        </w:rPr>
      </w:pPr>
    </w:p>
    <w:p w:rsidR="009D302B" w:rsidRDefault="009D302B" w:rsidP="0045186C">
      <w:pPr>
        <w:jc w:val="both"/>
        <w:rPr>
          <w:rFonts w:eastAsia="Times New Roman" w:cs="Arial"/>
          <w:lang w:val="en-US"/>
        </w:rPr>
      </w:pPr>
    </w:p>
    <w:p w:rsidR="009D302B" w:rsidRDefault="009D302B" w:rsidP="0045186C">
      <w:pPr>
        <w:jc w:val="both"/>
        <w:rPr>
          <w:rFonts w:eastAsia="Times New Roman" w:cs="Arial"/>
          <w:lang w:val="en-US"/>
        </w:rPr>
      </w:pPr>
    </w:p>
    <w:p w:rsidR="009D302B" w:rsidRDefault="009D302B" w:rsidP="0045186C">
      <w:pPr>
        <w:pStyle w:val="PargrafodaLista"/>
        <w:ind w:left="0"/>
        <w:jc w:val="both"/>
        <w:rPr>
          <w:rFonts w:cs="Arial"/>
          <w:b/>
          <w:u w:val="single"/>
          <w:lang w:val="en-GB"/>
        </w:rPr>
      </w:pPr>
    </w:p>
    <w:p w:rsidR="00DC6FE9" w:rsidRPr="00CF7953" w:rsidRDefault="00DC6FE9" w:rsidP="009D302B">
      <w:pPr>
        <w:pStyle w:val="PargrafodaLista"/>
        <w:numPr>
          <w:ilvl w:val="0"/>
          <w:numId w:val="4"/>
        </w:numPr>
        <w:spacing w:line="360" w:lineRule="auto"/>
        <w:ind w:left="426"/>
        <w:jc w:val="both"/>
        <w:rPr>
          <w:rFonts w:cs="Arial"/>
          <w:b/>
          <w:lang w:val="en-GB"/>
        </w:rPr>
      </w:pPr>
      <w:r w:rsidRPr="00DC6FE9">
        <w:rPr>
          <w:rFonts w:cs="Arial"/>
          <w:b/>
          <w:u w:val="single"/>
          <w:lang w:val="en-GB"/>
        </w:rPr>
        <w:t xml:space="preserve">Topic </w:t>
      </w:r>
      <w:r>
        <w:rPr>
          <w:rFonts w:cs="Arial"/>
          <w:b/>
          <w:u w:val="single"/>
          <w:lang w:val="en-GB"/>
        </w:rPr>
        <w:t>V</w:t>
      </w:r>
      <w:r w:rsidRPr="00CF7953">
        <w:rPr>
          <w:rFonts w:cs="Arial"/>
          <w:b/>
          <w:lang w:val="en-GB"/>
        </w:rPr>
        <w:t>: Characterization of the sensory profile of sea urchin aiming at the selection of premium gonads) (WP4)</w:t>
      </w:r>
    </w:p>
    <w:p w:rsidR="00DC6FE9" w:rsidRPr="009D302B" w:rsidRDefault="00DC6FE9" w:rsidP="00744CE6">
      <w:pPr>
        <w:pStyle w:val="PargrafodaLista"/>
        <w:spacing w:line="360" w:lineRule="auto"/>
        <w:ind w:left="426"/>
        <w:jc w:val="both"/>
        <w:rPr>
          <w:rFonts w:cs="Arial"/>
          <w:lang w:val="en-GB"/>
        </w:rPr>
      </w:pPr>
      <w:r w:rsidRPr="009D302B">
        <w:rPr>
          <w:rFonts w:cs="Arial"/>
          <w:b/>
          <w:lang w:val="en-GB"/>
        </w:rPr>
        <w:t xml:space="preserve">Supervisory team: </w:t>
      </w:r>
      <w:r w:rsidRPr="009D302B">
        <w:rPr>
          <w:rFonts w:cs="Arial"/>
          <w:lang w:val="en-GB"/>
        </w:rPr>
        <w:t>Luísa M. P. Valente (CIIMAR/ICBAS-UP); Amparo Gonçalves (CIIMAR/IPMA); Luís M. Cunha (</w:t>
      </w:r>
      <w:proofErr w:type="spellStart"/>
      <w:r w:rsidRPr="009D302B">
        <w:rPr>
          <w:rFonts w:cs="Arial"/>
          <w:lang w:val="en-GB"/>
        </w:rPr>
        <w:t>GreenUP</w:t>
      </w:r>
      <w:proofErr w:type="spellEnd"/>
      <w:r w:rsidRPr="009D302B">
        <w:rPr>
          <w:rFonts w:cs="Arial"/>
          <w:lang w:val="en-GB"/>
        </w:rPr>
        <w:t>, CITAB-UP/FC-UP)</w:t>
      </w:r>
    </w:p>
    <w:p w:rsidR="00DC6FE9" w:rsidRPr="009D302B" w:rsidRDefault="00DC6FE9" w:rsidP="00744CE6">
      <w:pPr>
        <w:pStyle w:val="PargrafodaLista"/>
        <w:spacing w:line="360" w:lineRule="auto"/>
        <w:ind w:left="426"/>
        <w:jc w:val="both"/>
        <w:rPr>
          <w:rFonts w:cs="Arial"/>
        </w:rPr>
      </w:pPr>
      <w:r w:rsidRPr="009D302B">
        <w:rPr>
          <w:rFonts w:cs="Arial"/>
          <w:b/>
        </w:rPr>
        <w:t xml:space="preserve">Industrial </w:t>
      </w:r>
      <w:proofErr w:type="spellStart"/>
      <w:r w:rsidRPr="009D302B">
        <w:rPr>
          <w:rFonts w:cs="Arial"/>
          <w:b/>
        </w:rPr>
        <w:t>Representative</w:t>
      </w:r>
      <w:proofErr w:type="spellEnd"/>
      <w:r w:rsidRPr="009D302B">
        <w:rPr>
          <w:rFonts w:cs="Arial"/>
        </w:rPr>
        <w:t>: Rui Costa Lima (SENSETEST)</w:t>
      </w:r>
    </w:p>
    <w:p w:rsidR="00DC6FE9" w:rsidRPr="009D302B" w:rsidRDefault="000E5D20" w:rsidP="00744CE6">
      <w:pPr>
        <w:widowControl w:val="0"/>
        <w:suppressAutoHyphens/>
        <w:spacing w:after="120"/>
        <w:ind w:left="426"/>
        <w:jc w:val="both"/>
        <w:rPr>
          <w:i/>
          <w:sz w:val="20"/>
          <w:szCs w:val="20"/>
          <w:lang w:val="en-US"/>
        </w:rPr>
      </w:pPr>
      <w:r w:rsidRPr="009D302B">
        <w:rPr>
          <w:i/>
          <w:sz w:val="20"/>
          <w:szCs w:val="20"/>
          <w:lang w:val="en-US"/>
        </w:rPr>
        <w:t xml:space="preserve">Sea urchin gonads market price and consumer acceptability depends on size, </w:t>
      </w:r>
      <w:proofErr w:type="spellStart"/>
      <w:r w:rsidRPr="009D302B">
        <w:rPr>
          <w:i/>
          <w:sz w:val="20"/>
          <w:szCs w:val="20"/>
          <w:lang w:val="en-US"/>
        </w:rPr>
        <w:t>colour</w:t>
      </w:r>
      <w:proofErr w:type="spellEnd"/>
      <w:r w:rsidRPr="009D302B">
        <w:rPr>
          <w:i/>
          <w:sz w:val="20"/>
          <w:szCs w:val="20"/>
          <w:lang w:val="en-US"/>
        </w:rPr>
        <w:t xml:space="preserve">, </w:t>
      </w:r>
      <w:proofErr w:type="spellStart"/>
      <w:r w:rsidRPr="009D302B">
        <w:rPr>
          <w:i/>
          <w:sz w:val="20"/>
          <w:szCs w:val="20"/>
          <w:lang w:val="en-US"/>
        </w:rPr>
        <w:t>odour</w:t>
      </w:r>
      <w:proofErr w:type="spellEnd"/>
      <w:r w:rsidRPr="009D302B">
        <w:rPr>
          <w:i/>
          <w:sz w:val="20"/>
          <w:szCs w:val="20"/>
          <w:lang w:val="en-US"/>
        </w:rPr>
        <w:t xml:space="preserve"> and </w:t>
      </w:r>
      <w:proofErr w:type="spellStart"/>
      <w:r w:rsidRPr="009D302B">
        <w:rPr>
          <w:i/>
          <w:sz w:val="20"/>
          <w:szCs w:val="20"/>
          <w:lang w:val="en-US"/>
        </w:rPr>
        <w:t>flavour</w:t>
      </w:r>
      <w:proofErr w:type="spellEnd"/>
      <w:r w:rsidRPr="009D302B">
        <w:rPr>
          <w:i/>
          <w:sz w:val="20"/>
          <w:szCs w:val="20"/>
          <w:lang w:val="en-US"/>
        </w:rPr>
        <w:t>, which are a reflection of animals’ diet. Descriptive sensory analysis of sea urchin gonads can help select the best harvest period to obtain the desired gonad quality, and evaluate its quality changes over time. Moreover, the dietary modulation can improve sea urchin production in captivity, allowing regular production of high quality gonads both for market consumption and farming purposes. This project will address these topics by focusing on the:</w:t>
      </w:r>
      <w:r w:rsidRPr="009D302B">
        <w:rPr>
          <w:i/>
          <w:sz w:val="20"/>
          <w:szCs w:val="20"/>
          <w:lang w:val="en-US"/>
        </w:rPr>
        <w:t xml:space="preserve"> 1) s</w:t>
      </w:r>
      <w:r w:rsidRPr="009D302B">
        <w:rPr>
          <w:i/>
          <w:sz w:val="20"/>
          <w:szCs w:val="20"/>
          <w:lang w:val="en-US"/>
        </w:rPr>
        <w:t xml:space="preserve">election and training of sensory panel for sea urchin gonads; this will include: </w:t>
      </w:r>
      <w:proofErr w:type="spellStart"/>
      <w:r w:rsidRPr="009D302B">
        <w:rPr>
          <w:i/>
          <w:sz w:val="20"/>
          <w:szCs w:val="20"/>
          <w:lang w:val="en-US"/>
        </w:rPr>
        <w:t>panellists</w:t>
      </w:r>
      <w:proofErr w:type="spellEnd"/>
      <w:r w:rsidRPr="009D302B">
        <w:rPr>
          <w:i/>
          <w:sz w:val="20"/>
          <w:szCs w:val="20"/>
          <w:lang w:val="en-US"/>
        </w:rPr>
        <w:t xml:space="preserve"> recruitment, selection and training for descriptive testing (including testing of sea urchin gonads) and evalu</w:t>
      </w:r>
      <w:r w:rsidRPr="009D302B">
        <w:rPr>
          <w:i/>
          <w:sz w:val="20"/>
          <w:szCs w:val="20"/>
          <w:lang w:val="en-US"/>
        </w:rPr>
        <w:t xml:space="preserve">ation of </w:t>
      </w:r>
      <w:proofErr w:type="spellStart"/>
      <w:r w:rsidRPr="009D302B">
        <w:rPr>
          <w:i/>
          <w:sz w:val="20"/>
          <w:szCs w:val="20"/>
          <w:lang w:val="en-US"/>
        </w:rPr>
        <w:t>panellists</w:t>
      </w:r>
      <w:proofErr w:type="spellEnd"/>
      <w:r w:rsidRPr="009D302B">
        <w:rPr>
          <w:i/>
          <w:sz w:val="20"/>
          <w:szCs w:val="20"/>
          <w:lang w:val="en-US"/>
        </w:rPr>
        <w:t xml:space="preserve"> performance; 2) q</w:t>
      </w:r>
      <w:r w:rsidRPr="009D302B">
        <w:rPr>
          <w:i/>
          <w:sz w:val="20"/>
          <w:szCs w:val="20"/>
          <w:lang w:val="en-US"/>
        </w:rPr>
        <w:t xml:space="preserve">uantitative descriptive analysis (QDA) of sea urchin gonads by testing gonads in different conditions for the characterization of the sensory profile of this product  aiming the selection of premium gonads; the Quality Index Method (QIM) will be optimized for sea urchin gonads (during chilled and cold storage conditions) to discriminate the quality </w:t>
      </w:r>
      <w:r w:rsidRPr="009D302B">
        <w:rPr>
          <w:i/>
          <w:sz w:val="20"/>
          <w:szCs w:val="20"/>
          <w:lang w:val="en-US"/>
        </w:rPr>
        <w:t>grade and define its shelf life; and 3) m</w:t>
      </w:r>
      <w:r w:rsidRPr="009D302B">
        <w:rPr>
          <w:i/>
          <w:sz w:val="20"/>
          <w:szCs w:val="20"/>
          <w:lang w:val="en-US"/>
        </w:rPr>
        <w:t xml:space="preserve">odulation of sea urchin gonad quality by dietary formulation; dedicated classical nutritional trials will be carried out under laboratory conditions to evaluate best protein/energy ratios in diets for juveniles and the dietary inclusion of supplements to improve gonads quality and marketability. Classic analytical tools applied in nutrient requirement studies combined with transcriptomics of sea urchin gonads will allow the proper identification of major genomic components of the sea urchin unique </w:t>
      </w:r>
      <w:proofErr w:type="spellStart"/>
      <w:r w:rsidRPr="009D302B">
        <w:rPr>
          <w:i/>
          <w:sz w:val="20"/>
          <w:szCs w:val="20"/>
          <w:lang w:val="en-US"/>
        </w:rPr>
        <w:t>flavour</w:t>
      </w:r>
      <w:proofErr w:type="spellEnd"/>
      <w:r w:rsidRPr="009D302B">
        <w:rPr>
          <w:i/>
          <w:sz w:val="20"/>
          <w:szCs w:val="20"/>
          <w:lang w:val="en-US"/>
        </w:rPr>
        <w:t xml:space="preserve"> of gonads.</w:t>
      </w:r>
    </w:p>
    <w:p w:rsidR="00213BB2" w:rsidRPr="00922F72" w:rsidRDefault="00213BB2" w:rsidP="0045186C">
      <w:pPr>
        <w:widowControl w:val="0"/>
        <w:suppressAutoHyphens/>
        <w:spacing w:line="360" w:lineRule="auto"/>
        <w:jc w:val="both"/>
        <w:rPr>
          <w:lang w:val="en-US"/>
        </w:rPr>
      </w:pPr>
    </w:p>
    <w:p w:rsidR="00213BB2" w:rsidRPr="00922F72" w:rsidRDefault="00B83F4E" w:rsidP="00DA3757">
      <w:pPr>
        <w:widowControl w:val="0"/>
        <w:suppressAutoHyphens/>
        <w:spacing w:line="360" w:lineRule="auto"/>
        <w:jc w:val="both"/>
        <w:rPr>
          <w:lang w:val="en-US"/>
        </w:rPr>
      </w:pPr>
      <w:r w:rsidRPr="00922F72">
        <w:rPr>
          <w:b/>
          <w:lang w:val="en-US"/>
        </w:rPr>
        <w:t xml:space="preserve">5. </w:t>
      </w:r>
      <w:r w:rsidR="00D33B53" w:rsidRPr="00922F72">
        <w:rPr>
          <w:b/>
          <w:lang w:val="en-US"/>
        </w:rPr>
        <w:t>Research project synopsis</w:t>
      </w:r>
      <w:r w:rsidR="00FE6B7C" w:rsidRPr="00922F72">
        <w:rPr>
          <w:b/>
          <w:lang w:val="en-US"/>
        </w:rPr>
        <w:t xml:space="preserve"> </w:t>
      </w:r>
      <w:r w:rsidR="00FE6B7C" w:rsidRPr="00922F72">
        <w:rPr>
          <w:lang w:val="en-US"/>
        </w:rPr>
        <w:t>(maximum 5,000 characters including spaces)</w:t>
      </w:r>
    </w:p>
    <w:p w:rsidR="008520C8" w:rsidRPr="00922F72" w:rsidRDefault="00A74677" w:rsidP="00FE3704">
      <w:pPr>
        <w:widowControl w:val="0"/>
        <w:suppressAutoHyphens/>
        <w:spacing w:line="360" w:lineRule="auto"/>
        <w:jc w:val="both"/>
        <w:rPr>
          <w:i/>
          <w:lang w:val="en-US"/>
        </w:rPr>
      </w:pPr>
      <w:r w:rsidRPr="00922F72">
        <w:rPr>
          <w:i/>
          <w:lang w:val="en-US"/>
        </w:rPr>
        <w:t xml:space="preserve">Candidates have to </w:t>
      </w:r>
      <w:r w:rsidR="00FE3704" w:rsidRPr="00922F72">
        <w:rPr>
          <w:i/>
          <w:lang w:val="en-US"/>
        </w:rPr>
        <w:t>prepare</w:t>
      </w:r>
      <w:r w:rsidRPr="00922F72">
        <w:rPr>
          <w:i/>
          <w:lang w:val="en-US"/>
        </w:rPr>
        <w:t xml:space="preserve"> a project </w:t>
      </w:r>
      <w:r w:rsidR="008520C8" w:rsidRPr="00922F72">
        <w:rPr>
          <w:i/>
          <w:lang w:val="en-US"/>
        </w:rPr>
        <w:t xml:space="preserve">synopsis </w:t>
      </w:r>
      <w:r w:rsidRPr="00922F72">
        <w:rPr>
          <w:i/>
          <w:lang w:val="en-US"/>
        </w:rPr>
        <w:t xml:space="preserve">by themselves </w:t>
      </w:r>
      <w:r w:rsidR="00FE3704" w:rsidRPr="00922F72">
        <w:rPr>
          <w:i/>
          <w:lang w:val="en-US"/>
        </w:rPr>
        <w:t>for</w:t>
      </w:r>
      <w:r w:rsidRPr="00922F72">
        <w:rPr>
          <w:i/>
          <w:lang w:val="en-US"/>
        </w:rPr>
        <w:t xml:space="preserve"> evaluat</w:t>
      </w:r>
      <w:r w:rsidR="00FE3704" w:rsidRPr="00922F72">
        <w:rPr>
          <w:i/>
          <w:lang w:val="en-US"/>
        </w:rPr>
        <w:t xml:space="preserve">ion of their </w:t>
      </w:r>
      <w:r w:rsidR="00FE3704" w:rsidRPr="00922F72">
        <w:rPr>
          <w:rFonts w:cs="Arial"/>
          <w:shd w:val="clear" w:color="auto" w:fill="FFFFFF"/>
          <w:lang w:val="en-US"/>
        </w:rPr>
        <w:t xml:space="preserve">skills, abilities and capabilities, and </w:t>
      </w:r>
      <w:r w:rsidRPr="00922F72">
        <w:rPr>
          <w:i/>
          <w:lang w:val="en-US"/>
        </w:rPr>
        <w:t xml:space="preserve">that </w:t>
      </w:r>
      <w:r w:rsidR="00CF4122" w:rsidRPr="00922F72">
        <w:rPr>
          <w:i/>
          <w:lang w:val="en-US"/>
        </w:rPr>
        <w:t xml:space="preserve">should include: </w:t>
      </w:r>
    </w:p>
    <w:p w:rsidR="008520C8" w:rsidRPr="00922F72" w:rsidRDefault="008520C8" w:rsidP="00DA3757">
      <w:pPr>
        <w:pStyle w:val="PargrafodaLista"/>
        <w:widowControl w:val="0"/>
        <w:numPr>
          <w:ilvl w:val="0"/>
          <w:numId w:val="2"/>
        </w:numPr>
        <w:suppressAutoHyphens/>
        <w:spacing w:line="360" w:lineRule="auto"/>
        <w:contextualSpacing w:val="0"/>
        <w:jc w:val="both"/>
        <w:rPr>
          <w:i/>
          <w:lang w:val="en-US"/>
        </w:rPr>
      </w:pPr>
      <w:r w:rsidRPr="00922F72">
        <w:rPr>
          <w:i/>
          <w:lang w:val="en-US"/>
        </w:rPr>
        <w:t>Summarized state of the art related to the selected topic (</w:t>
      </w:r>
      <w:r w:rsidR="00DA3757" w:rsidRPr="00922F72">
        <w:rPr>
          <w:i/>
          <w:lang w:val="en-US"/>
        </w:rPr>
        <w:t>a</w:t>
      </w:r>
      <w:r w:rsidRPr="00922F72">
        <w:rPr>
          <w:i/>
          <w:lang w:val="en-US"/>
        </w:rPr>
        <w:t>bout 1000 characters)</w:t>
      </w:r>
      <w:r w:rsidR="00DA3757" w:rsidRPr="00922F72">
        <w:rPr>
          <w:i/>
          <w:lang w:val="en-US"/>
        </w:rPr>
        <w:t>;</w:t>
      </w:r>
    </w:p>
    <w:p w:rsidR="008520C8" w:rsidRPr="00922F72" w:rsidRDefault="008520C8" w:rsidP="00DA3757">
      <w:pPr>
        <w:pStyle w:val="PargrafodaLista"/>
        <w:widowControl w:val="0"/>
        <w:numPr>
          <w:ilvl w:val="0"/>
          <w:numId w:val="2"/>
        </w:numPr>
        <w:suppressAutoHyphens/>
        <w:spacing w:line="360" w:lineRule="auto"/>
        <w:contextualSpacing w:val="0"/>
        <w:jc w:val="both"/>
        <w:rPr>
          <w:i/>
          <w:lang w:val="en-US"/>
        </w:rPr>
      </w:pPr>
      <w:r w:rsidRPr="00922F72">
        <w:rPr>
          <w:i/>
          <w:lang w:val="en-US"/>
        </w:rPr>
        <w:t>Proposal of a timely objective for a PhD thesis within the topic mentioned above, or the preferential one, if multiple topics have been chosen (</w:t>
      </w:r>
      <w:r w:rsidR="00DA3757" w:rsidRPr="00922F72">
        <w:rPr>
          <w:i/>
          <w:lang w:val="en-US"/>
        </w:rPr>
        <w:t>about 300 characters);</w:t>
      </w:r>
    </w:p>
    <w:p w:rsidR="00AA3453" w:rsidRPr="00922F72" w:rsidRDefault="008520C8" w:rsidP="00DA3757">
      <w:pPr>
        <w:pStyle w:val="PargrafodaLista"/>
        <w:widowControl w:val="0"/>
        <w:numPr>
          <w:ilvl w:val="0"/>
          <w:numId w:val="2"/>
        </w:numPr>
        <w:suppressAutoHyphens/>
        <w:spacing w:line="360" w:lineRule="auto"/>
        <w:contextualSpacing w:val="0"/>
        <w:jc w:val="both"/>
        <w:rPr>
          <w:i/>
          <w:lang w:val="en-US"/>
        </w:rPr>
      </w:pPr>
      <w:r w:rsidRPr="00922F72">
        <w:rPr>
          <w:i/>
          <w:lang w:val="en-US"/>
        </w:rPr>
        <w:t>Brief description of tasks to be developed to attain the objectives proposed above (</w:t>
      </w:r>
      <w:r w:rsidR="00DA3757" w:rsidRPr="00922F72">
        <w:rPr>
          <w:i/>
          <w:lang w:val="en-US"/>
        </w:rPr>
        <w:t>a</w:t>
      </w:r>
      <w:r w:rsidRPr="00922F72">
        <w:rPr>
          <w:i/>
          <w:lang w:val="en-US"/>
        </w:rPr>
        <w:t>bout 3700 characters).</w:t>
      </w:r>
    </w:p>
    <w:p w:rsidR="00AA3453" w:rsidRPr="00922F72" w:rsidRDefault="00AA3453" w:rsidP="00D91733">
      <w:pPr>
        <w:widowControl w:val="0"/>
        <w:suppressAutoHyphens/>
        <w:spacing w:line="360" w:lineRule="auto"/>
        <w:rPr>
          <w:lang w:val="en-US"/>
        </w:rPr>
      </w:pPr>
    </w:p>
    <w:sectPr w:rsidR="00AA3453" w:rsidRPr="00922F72" w:rsidSect="007C3205">
      <w:headerReference w:type="default" r:id="rId8"/>
      <w:foot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3F" w:rsidRDefault="00FE533F" w:rsidP="00AA3453">
      <w:r>
        <w:separator/>
      </w:r>
    </w:p>
  </w:endnote>
  <w:endnote w:type="continuationSeparator" w:id="0">
    <w:p w:rsidR="00FE533F" w:rsidRDefault="00FE533F" w:rsidP="00AA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60888"/>
      <w:docPartObj>
        <w:docPartGallery w:val="Page Numbers (Bottom of Page)"/>
        <w:docPartUnique/>
      </w:docPartObj>
    </w:sdtPr>
    <w:sdtEndPr/>
    <w:sdtContent>
      <w:p w:rsidR="007C3205" w:rsidRDefault="005F7D62">
        <w:pPr>
          <w:pStyle w:val="Rodap"/>
          <w:jc w:val="right"/>
        </w:pPr>
        <w:r w:rsidRPr="007C3205">
          <w:rPr>
            <w:i/>
          </w:rPr>
          <w:fldChar w:fldCharType="begin"/>
        </w:r>
        <w:r w:rsidR="007C3205" w:rsidRPr="007C3205">
          <w:rPr>
            <w:i/>
          </w:rPr>
          <w:instrText>PAGE   \* MERGEFORMAT</w:instrText>
        </w:r>
        <w:r w:rsidRPr="007C3205">
          <w:rPr>
            <w:i/>
          </w:rPr>
          <w:fldChar w:fldCharType="separate"/>
        </w:r>
        <w:r w:rsidR="00744CE6">
          <w:rPr>
            <w:i/>
            <w:noProof/>
          </w:rPr>
          <w:t>1</w:t>
        </w:r>
        <w:r w:rsidRPr="007C3205">
          <w:rPr>
            <w:i/>
          </w:rPr>
          <w:fldChar w:fldCharType="end"/>
        </w:r>
      </w:p>
    </w:sdtContent>
  </w:sdt>
  <w:p w:rsidR="007C3205" w:rsidRDefault="007C32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3F" w:rsidRDefault="00FE533F" w:rsidP="00AA3453">
      <w:r>
        <w:separator/>
      </w:r>
    </w:p>
  </w:footnote>
  <w:footnote w:type="continuationSeparator" w:id="0">
    <w:p w:rsidR="00FE533F" w:rsidRDefault="00FE533F" w:rsidP="00AA3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53" w:rsidRDefault="00AA3453">
    <w:pPr>
      <w:pStyle w:val="Cabealho"/>
    </w:pPr>
    <w:r>
      <w:rPr>
        <w:noProof/>
        <w:lang w:eastAsia="pt-PT"/>
      </w:rPr>
      <w:drawing>
        <wp:anchor distT="0" distB="0" distL="114300" distR="114300" simplePos="0" relativeHeight="251659264" behindDoc="1" locked="0" layoutInCell="1" allowOverlap="1">
          <wp:simplePos x="0" y="0"/>
          <wp:positionH relativeFrom="column">
            <wp:posOffset>-15875</wp:posOffset>
          </wp:positionH>
          <wp:positionV relativeFrom="paragraph">
            <wp:posOffset>74930</wp:posOffset>
          </wp:positionV>
          <wp:extent cx="2457450" cy="641350"/>
          <wp:effectExtent l="0" t="0" r="0" b="6350"/>
          <wp:wrapTight wrapText="bothSides">
            <wp:wrapPolygon edited="0">
              <wp:start x="0" y="0"/>
              <wp:lineTo x="0" y="21172"/>
              <wp:lineTo x="21433" y="21172"/>
              <wp:lineTo x="21433" y="0"/>
              <wp:lineTo x="0" y="0"/>
            </wp:wrapPolygon>
          </wp:wrapTight>
          <wp:docPr id="1" name="Picture 1" descr="Logo IC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BAS"/>
                  <pic:cNvPicPr>
                    <a:picLocks noChangeAspect="1" noChangeArrowheads="1"/>
                  </pic:cNvPicPr>
                </pic:nvPicPr>
                <pic:blipFill>
                  <a:blip r:embed="rId1"/>
                  <a:srcRect/>
                  <a:stretch>
                    <a:fillRect/>
                  </a:stretch>
                </pic:blipFill>
                <pic:spPr bwMode="auto">
                  <a:xfrm>
                    <a:off x="0" y="0"/>
                    <a:ext cx="2457450" cy="64135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61312" behindDoc="0" locked="0" layoutInCell="1" allowOverlap="1">
          <wp:simplePos x="0" y="0"/>
          <wp:positionH relativeFrom="column">
            <wp:posOffset>2901315</wp:posOffset>
          </wp:positionH>
          <wp:positionV relativeFrom="paragraph">
            <wp:posOffset>-163830</wp:posOffset>
          </wp:positionV>
          <wp:extent cx="2489200" cy="946150"/>
          <wp:effectExtent l="0" t="0" r="6350" b="6350"/>
          <wp:wrapTopAndBottom/>
          <wp:docPr id="4" name="Picture 4" descr="C:\Users\LUISAV~1\AppData\Local\Temp\Rar$DIa0.410\policromatic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AV~1\AppData\Local\Temp\Rar$DIa0.410\policromatico_v1.jpg"/>
                  <pic:cNvPicPr>
                    <a:picLocks noChangeAspect="1" noChangeArrowheads="1"/>
                  </pic:cNvPicPr>
                </pic:nvPicPr>
                <pic:blipFill>
                  <a:blip r:embed="rId2"/>
                  <a:srcRect/>
                  <a:stretch>
                    <a:fillRect/>
                  </a:stretch>
                </pic:blipFill>
                <pic:spPr bwMode="auto">
                  <a:xfrm>
                    <a:off x="0" y="0"/>
                    <a:ext cx="2489200" cy="946150"/>
                  </a:xfrm>
                  <a:prstGeom prst="rect">
                    <a:avLst/>
                  </a:prstGeom>
                  <a:noFill/>
                  <a:ln w="9525">
                    <a:noFill/>
                    <a:miter lim="800000"/>
                    <a:headEnd/>
                    <a:tailEnd/>
                  </a:ln>
                </pic:spPr>
              </pic:pic>
            </a:graphicData>
          </a:graphic>
        </wp:anchor>
      </w:drawing>
    </w:r>
  </w:p>
  <w:p w:rsidR="00AA3453" w:rsidRDefault="00AA345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F0E5E"/>
    <w:multiLevelType w:val="hybridMultilevel"/>
    <w:tmpl w:val="12F8328E"/>
    <w:lvl w:ilvl="0" w:tplc="FD8A2E88">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4CC55E5"/>
    <w:multiLevelType w:val="hybridMultilevel"/>
    <w:tmpl w:val="01A692A4"/>
    <w:lvl w:ilvl="0" w:tplc="FD8A2E88">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63131648"/>
    <w:multiLevelType w:val="hybridMultilevel"/>
    <w:tmpl w:val="D9260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F72152"/>
    <w:multiLevelType w:val="hybridMultilevel"/>
    <w:tmpl w:val="FF02B026"/>
    <w:lvl w:ilvl="0" w:tplc="FD8A2E88">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387C"/>
    <w:rsid w:val="00065D3F"/>
    <w:rsid w:val="000E5D20"/>
    <w:rsid w:val="000F7DCA"/>
    <w:rsid w:val="001935F0"/>
    <w:rsid w:val="001C3B28"/>
    <w:rsid w:val="00212DE1"/>
    <w:rsid w:val="00213BB2"/>
    <w:rsid w:val="00234E27"/>
    <w:rsid w:val="002F0363"/>
    <w:rsid w:val="00387E0A"/>
    <w:rsid w:val="003B3155"/>
    <w:rsid w:val="003C6D03"/>
    <w:rsid w:val="004160BF"/>
    <w:rsid w:val="0045186C"/>
    <w:rsid w:val="004A654B"/>
    <w:rsid w:val="004B6BBE"/>
    <w:rsid w:val="005E657E"/>
    <w:rsid w:val="005F7D62"/>
    <w:rsid w:val="006A6728"/>
    <w:rsid w:val="006E1884"/>
    <w:rsid w:val="006F4E8C"/>
    <w:rsid w:val="00744CE6"/>
    <w:rsid w:val="007C3205"/>
    <w:rsid w:val="008074CD"/>
    <w:rsid w:val="00810E10"/>
    <w:rsid w:val="008202AA"/>
    <w:rsid w:val="008520C8"/>
    <w:rsid w:val="00866EB2"/>
    <w:rsid w:val="00887FB6"/>
    <w:rsid w:val="008E387C"/>
    <w:rsid w:val="00922F72"/>
    <w:rsid w:val="00963CD6"/>
    <w:rsid w:val="009D302B"/>
    <w:rsid w:val="009F228A"/>
    <w:rsid w:val="00A02813"/>
    <w:rsid w:val="00A6273A"/>
    <w:rsid w:val="00A74677"/>
    <w:rsid w:val="00A970C5"/>
    <w:rsid w:val="00AA3453"/>
    <w:rsid w:val="00B54FCD"/>
    <w:rsid w:val="00B77E85"/>
    <w:rsid w:val="00B83F4E"/>
    <w:rsid w:val="00CF4122"/>
    <w:rsid w:val="00D33B53"/>
    <w:rsid w:val="00D71895"/>
    <w:rsid w:val="00D91733"/>
    <w:rsid w:val="00DA3757"/>
    <w:rsid w:val="00DC6FE9"/>
    <w:rsid w:val="00DD255A"/>
    <w:rsid w:val="00E34103"/>
    <w:rsid w:val="00E76401"/>
    <w:rsid w:val="00E97ED4"/>
    <w:rsid w:val="00EE04C0"/>
    <w:rsid w:val="00F16854"/>
    <w:rsid w:val="00FA6006"/>
    <w:rsid w:val="00FD0187"/>
    <w:rsid w:val="00FE3704"/>
    <w:rsid w:val="00FE533F"/>
    <w:rsid w:val="00FE6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C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3BB2"/>
    <w:pPr>
      <w:ind w:left="720"/>
      <w:contextualSpacing/>
    </w:pPr>
  </w:style>
  <w:style w:type="paragraph" w:styleId="Cabealho">
    <w:name w:val="header"/>
    <w:basedOn w:val="Normal"/>
    <w:link w:val="CabealhoCarcter"/>
    <w:uiPriority w:val="99"/>
    <w:unhideWhenUsed/>
    <w:rsid w:val="00AA3453"/>
    <w:pPr>
      <w:tabs>
        <w:tab w:val="center" w:pos="4252"/>
        <w:tab w:val="right" w:pos="8504"/>
      </w:tabs>
    </w:pPr>
  </w:style>
  <w:style w:type="character" w:customStyle="1" w:styleId="CabealhoCarcter">
    <w:name w:val="Cabeçalho Carácter"/>
    <w:basedOn w:val="Tipodeletrapredefinidodopargrafo"/>
    <w:link w:val="Cabealho"/>
    <w:uiPriority w:val="99"/>
    <w:rsid w:val="00AA3453"/>
  </w:style>
  <w:style w:type="paragraph" w:styleId="Rodap">
    <w:name w:val="footer"/>
    <w:basedOn w:val="Normal"/>
    <w:link w:val="RodapCarcter"/>
    <w:uiPriority w:val="99"/>
    <w:unhideWhenUsed/>
    <w:rsid w:val="00AA3453"/>
    <w:pPr>
      <w:tabs>
        <w:tab w:val="center" w:pos="4252"/>
        <w:tab w:val="right" w:pos="8504"/>
      </w:tabs>
    </w:pPr>
  </w:style>
  <w:style w:type="character" w:customStyle="1" w:styleId="RodapCarcter">
    <w:name w:val="Rodapé Carácter"/>
    <w:basedOn w:val="Tipodeletrapredefinidodopargrafo"/>
    <w:link w:val="Rodap"/>
    <w:uiPriority w:val="99"/>
    <w:rsid w:val="00AA3453"/>
  </w:style>
  <w:style w:type="paragraph" w:styleId="Textodebalo">
    <w:name w:val="Balloon Text"/>
    <w:basedOn w:val="Normal"/>
    <w:link w:val="TextodebaloCarcter"/>
    <w:uiPriority w:val="99"/>
    <w:semiHidden/>
    <w:unhideWhenUsed/>
    <w:rsid w:val="00AA345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A3453"/>
    <w:rPr>
      <w:rFonts w:ascii="Tahoma" w:hAnsi="Tahoma" w:cs="Tahoma"/>
      <w:sz w:val="16"/>
      <w:szCs w:val="16"/>
    </w:rPr>
  </w:style>
  <w:style w:type="table" w:styleId="Tabelacomgrelha">
    <w:name w:val="Table Grid"/>
    <w:basedOn w:val="Tabelanormal"/>
    <w:uiPriority w:val="59"/>
    <w:rsid w:val="00D9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A74677"/>
    <w:rPr>
      <w:sz w:val="16"/>
      <w:szCs w:val="16"/>
    </w:rPr>
  </w:style>
  <w:style w:type="paragraph" w:styleId="Textodecomentrio">
    <w:name w:val="annotation text"/>
    <w:basedOn w:val="Normal"/>
    <w:link w:val="TextodecomentrioCarcter"/>
    <w:uiPriority w:val="99"/>
    <w:semiHidden/>
    <w:unhideWhenUsed/>
    <w:rsid w:val="00A74677"/>
    <w:rPr>
      <w:sz w:val="20"/>
      <w:szCs w:val="20"/>
    </w:rPr>
  </w:style>
  <w:style w:type="character" w:customStyle="1" w:styleId="TextodecomentrioCarcter">
    <w:name w:val="Texto de comentário Carácter"/>
    <w:basedOn w:val="Tipodeletrapredefinidodopargrafo"/>
    <w:link w:val="Textodecomentrio"/>
    <w:uiPriority w:val="99"/>
    <w:semiHidden/>
    <w:rsid w:val="00A74677"/>
    <w:rPr>
      <w:sz w:val="20"/>
      <w:szCs w:val="20"/>
    </w:rPr>
  </w:style>
  <w:style w:type="paragraph" w:styleId="Assuntodecomentrio">
    <w:name w:val="annotation subject"/>
    <w:basedOn w:val="Textodecomentrio"/>
    <w:next w:val="Textodecomentrio"/>
    <w:link w:val="AssuntodecomentrioCarcter"/>
    <w:uiPriority w:val="99"/>
    <w:semiHidden/>
    <w:unhideWhenUsed/>
    <w:rsid w:val="00A74677"/>
    <w:rPr>
      <w:b/>
      <w:bCs/>
    </w:rPr>
  </w:style>
  <w:style w:type="character" w:customStyle="1" w:styleId="AssuntodecomentrioCarcter">
    <w:name w:val="Assunto de comentário Carácter"/>
    <w:basedOn w:val="TextodecomentrioCarcter"/>
    <w:link w:val="Assuntodecomentrio"/>
    <w:uiPriority w:val="99"/>
    <w:semiHidden/>
    <w:rsid w:val="00A746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3BB2"/>
    <w:pPr>
      <w:ind w:left="720"/>
      <w:contextualSpacing/>
    </w:pPr>
  </w:style>
  <w:style w:type="paragraph" w:styleId="Cabealho">
    <w:name w:val="header"/>
    <w:basedOn w:val="Normal"/>
    <w:link w:val="CabealhoCarcter"/>
    <w:uiPriority w:val="99"/>
    <w:unhideWhenUsed/>
    <w:rsid w:val="00AA3453"/>
    <w:pPr>
      <w:tabs>
        <w:tab w:val="center" w:pos="4252"/>
        <w:tab w:val="right" w:pos="8504"/>
      </w:tabs>
    </w:pPr>
  </w:style>
  <w:style w:type="character" w:customStyle="1" w:styleId="CabealhoCarcter">
    <w:name w:val="Cabeçalho Carácter"/>
    <w:basedOn w:val="Tipodeletrapredefinidodopargrafo"/>
    <w:link w:val="Cabealho"/>
    <w:uiPriority w:val="99"/>
    <w:rsid w:val="00AA3453"/>
  </w:style>
  <w:style w:type="paragraph" w:styleId="Rodap">
    <w:name w:val="footer"/>
    <w:basedOn w:val="Normal"/>
    <w:link w:val="RodapCarcter"/>
    <w:uiPriority w:val="99"/>
    <w:unhideWhenUsed/>
    <w:rsid w:val="00AA3453"/>
    <w:pPr>
      <w:tabs>
        <w:tab w:val="center" w:pos="4252"/>
        <w:tab w:val="right" w:pos="8504"/>
      </w:tabs>
    </w:pPr>
  </w:style>
  <w:style w:type="character" w:customStyle="1" w:styleId="RodapCarcter">
    <w:name w:val="Rodapé Carácter"/>
    <w:basedOn w:val="Tipodeletrapredefinidodopargrafo"/>
    <w:link w:val="Rodap"/>
    <w:uiPriority w:val="99"/>
    <w:rsid w:val="00AA3453"/>
  </w:style>
  <w:style w:type="paragraph" w:styleId="Textodebalo">
    <w:name w:val="Balloon Text"/>
    <w:basedOn w:val="Normal"/>
    <w:link w:val="TextodebaloCarcter"/>
    <w:uiPriority w:val="99"/>
    <w:semiHidden/>
    <w:unhideWhenUsed/>
    <w:rsid w:val="00AA3453"/>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A3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1574</Words>
  <Characters>8504</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José Mira da Fonseca</dc:creator>
  <cp:lastModifiedBy>António José Mira da Fonseca</cp:lastModifiedBy>
  <cp:revision>10</cp:revision>
  <dcterms:created xsi:type="dcterms:W3CDTF">2016-06-13T11:33:00Z</dcterms:created>
  <dcterms:modified xsi:type="dcterms:W3CDTF">2016-06-13T11:53:00Z</dcterms:modified>
</cp:coreProperties>
</file>